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094-1d: Liên quan tài liệu: BẢN TIÊU CHUẨN HIỆU CHỈNH – KIỂM TRA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Trong quá trình kiểm tra định kỳ hoặc khi sử dụng, nếu phát hiện thiết bị đo có bất thường (ví dụ: pin yếu, màn hình hiển thị lỗi, hư hỏng), thao tác xử lý bắt buộc theo đúng quy định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thiết bị để kiểm tra và thay thế linh kiện bên trong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cho đến hết ca làm việc rồi mới báo cáo cấp trên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quả, xử lý theo chỉ thị của người chịu trách nhiệm bộ phận sở hữu, làm đơn đề nghị hiệu chỉnh lại nếu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Cất thiết bị vào kho và không cần ghi chép lại</w:t>
      </w:r>
    </w:p>
    <w:p/>
    <w:p>
      <w:r>
        <w:rPr>
          <w:rFonts w:ascii="Arial" w:hAnsi="Arial" w:eastAsia="Arial"/>
          <w:b w:val="0"/>
          <w:sz w:val="20"/>
        </w:rPr>
        <w:t>Câu 002: Đối với máy đo lực căng dây đai dạng sóng âm mã U-507 ở mức điều kiện đo LOW (với M=2.4g/m, W=10.0mm, S=200mm), trị quy cách tần số và trị quy cách cường lực tiêu chuẩn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25 Hz ± 0.25 Hz và 2.35 ～ 2.45 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90 Hz ± 0.9 Hz và 30.5 ～ 31.8 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500 Hz ± 5 Hz và 942 ～ 980 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2000 Hz ± 30 Hz và 14900 ～ 15830 N</w:t>
      </w:r>
    </w:p>
    <w:p/>
    <w:p>
      <w:r>
        <w:rPr>
          <w:rFonts w:ascii="Arial" w:hAnsi="Arial" w:eastAsia="Arial"/>
          <w:b w:val="0"/>
          <w:sz w:val="20"/>
        </w:rPr>
        <w:t>Câu 003: Theo tiêu chuẩn kiểm tra dụng cụ đo lực căng dây đai dạng sóng âm (U-507/507D/508/550), tiến độ thực hiện kiểm tra ngoại quan và lượng pin còn lại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trước mỗi ca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tháng 1 lần hoặc khi có yêu cầu từ bộ phận chất lượng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và sau khi sử dụng thiết bị đo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