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098-3: Liên quan tài liệu: BẢN TIÊU CHUẨN HIỆU CHỈNH – ĐIỂM KIỂM Đồng hồ đo điện trở bề mặt (Máy đo tĩnh điện khí)</w:t>
      </w:r>
    </w:p>
    <w:p>
      <w:r>
        <w:rPr>
          <w:rFonts w:ascii="Arial" w:hAnsi="Arial" w:eastAsia="Arial"/>
          <w:b w:val="0"/>
          <w:sz w:val="18"/>
        </w:rPr>
        <w:t>Đối tượng test: Nhân viên/Đội trưởng</w:t>
      </w:r>
    </w:p>
    <w:p>
      <w:r>
        <w:rPr>
          <w:rFonts w:ascii="Arial" w:hAnsi="Arial" w:eastAsia="Arial"/>
          <w:b w:val="0"/>
          <w:sz w:val="20"/>
        </w:rPr>
        <w:t>Câu 001: Tần suất điểm kiểm (kiểm tra trước khi sử dụng) đối với máy đo điện trở bề mặt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Đầu mỗi ca sản xuất.</w:t>
      </w:r>
    </w:p>
    <w:p/>
    <w:p>
      <w:r>
        <w:rPr>
          <w:rFonts w:ascii="Arial" w:hAnsi="Arial" w:eastAsia="Arial"/>
          <w:b/>
          <w:sz w:val="20"/>
        </w:rPr>
        <w:t>Câu 002: ◎ Theo mục chú ý về điểm kiểm, trong trường hợp KHÔNG phát sinh bất thường thì việc ghi chép kết quả được quy định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đầy đủ mỗi ngày vào biên bản.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lại, tuy nhiên dù cho không phát sinh trong vòng một tháng thì cũng cần phải ghi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bao giờ được ghi chép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ghi lại khi cấp trên yêu cầu kiểm tra đột xuất.</w:t>
      </w:r>
    </w:p>
    <w:p/>
    <w:p>
      <w:r>
        <w:rPr>
          <w:rFonts w:ascii="Arial" w:hAnsi="Arial" w:eastAsia="Arial"/>
          <w:b w:val="0"/>
          <w:sz w:val="20"/>
        </w:rPr>
        <w:t>Câu 003: Theo tài liệu, chu kì hiệu chỉnh đối với máy đo điện trở bề mặt (Máy đo tĩnh điện khí)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12 tháng và khi thay pin.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24 tháng và khi nhận thấy cần thiết.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6 tháng một lần định kỳ.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hiệu chỉnh một lần khi mua mới.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