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2-000 Ban V IT HOA ===</w:t>
      </w:r>
    </w:p>
    <w:p>
      <w:r>
        <w:rPr>
          <w:rFonts w:ascii="Arial" w:hAnsi="Arial" w:eastAsia="Arial"/>
          <w:b/>
          <w:sz w:val="18"/>
        </w:rPr>
        <w:t>Phần 104-1: Liên quan tài liệu: BẢN TIÊU CHUẨN HIỆU CHỈNH – ĐIỂM KIỂM MÁY ĐO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Trong quá trình kiểm tra, nếu không phát sinh những điểm bất thường thì thao tác ghi chép kết quả kiểm tra được quy định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Phải ghi chép lại đầy đủ từng giờ trong ngày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Không cần ghi chép lại, nhưng dù không phát sinh trong vòng một tháng thì cũng cần phải ghi lại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Chỉ cần ghi chép lại khi quản lý yêu cầu trực tiếp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Tuyệt đối không bao giờ được ghi chép lại nếu máy chạy bình thường</w:t>
      </w:r>
    </w:p>
    <w:p/>
    <w:p>
      <w:r>
        <w:rPr>
          <w:rFonts w:ascii="Arial" w:hAnsi="Arial" w:eastAsia="Arial"/>
          <w:b/>
          <w:sz w:val="20"/>
        </w:rPr>
        <w:t>Câu 002: ◎ Theo mục chú ý về an toàn khi hiệu chỉnh Máy đo độ dịch chuyển laser, điều nào sau đây là BẮT BUỘC KHÔNG ĐƯỢC LÀM?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Nhìn vào chùm tia laser hoặc cửa sổ của bộ phận phát sáng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Sử dụng Master Block A để đo chiều dài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Đo 2 loại geji chủ có chiều dài khác nhau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Bấm phím [Press DOWN][Work ON]</w:t>
      </w:r>
    </w:p>
    <w:p/>
    <w:p>
      <w:r>
        <w:rPr>
          <w:rFonts w:ascii="Arial" w:hAnsi="Arial" w:eastAsia="Arial"/>
          <w:b w:val="0"/>
          <w:sz w:val="20"/>
        </w:rPr>
        <w:t>Câu 003: Theo tài liệu, tần suất thực hiện điểm kiểm cho hạng mục ngoại quan của máy kiểm tra tự động là bao nhiêu?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tuần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lần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Mỗi tháng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Trước khi kết thúc ca làm việc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