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110-1: Liên quan tài liệu: BẢN TIÊU CHUẨN HIỆU CHỈNH/ĐIỂM KIỂM DỤNG CỤ ĐO ĐẠC - Băng test tuổi thọ dùng cho TBOSL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về điểm kiểm ngoại quan (Phần II), trường hợp kết quả điểm kiểm không khác thường thì việc ký lục được quy định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ký lục đầy đủ sau mỗi lần sử dụng bắt buộc.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ký lục kết quả điểm kiểm cũng được, tuy nhiên trong 1 tháng 1 lần dù không có khác thường thì vẫn ký lục nội dung đó.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ký lục khi có sự đồng ý của trưởng phòng BHCL.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Tuyệt đối không được ký lục dưới mọi hình thức.</w:t>
      </w:r>
    </w:p>
    <w:p/>
    <w:p>
      <w:r>
        <w:rPr>
          <w:rFonts w:ascii="Arial" w:hAnsi="Arial" w:eastAsia="Arial"/>
          <w:b w:val="0"/>
          <w:sz w:val="20"/>
        </w:rPr>
        <w:t>Câu 002: Theo tài liệu, tần suất điểm kiểm hạng mục 'Ngoại quan' đối với băng test tuổi thọ dùng cho TBOSL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ca sản xuất</w:t>
      </w:r>
    </w:p>
    <w:p/>
    <w:p>
      <w:r>
        <w:rPr>
          <w:rFonts w:ascii="Arial" w:hAnsi="Arial" w:eastAsia="Arial"/>
          <w:b w:val="0"/>
          <w:sz w:val="20"/>
        </w:rPr>
        <w:t>Câu 003: Khi kiểm tra độ chính xác tần số cho băng test tuổi thọ TBOSL, giá trị phán định quy định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±0.1Hz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±10mA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±0.005mm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±1.0Hz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