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/>
          <w:b/>
          <w:sz w:val="24"/>
        </w:rPr>
        <w:t>ĐÁP ÁN NHẬN ĐỊNH TƯ CÁCH NHÂN VIÊN VÀ ĐỘI TRƯỞNG PHÒNG KIỂM TRA</w:t>
      </w:r>
    </w:p>
    <w:p>
      <w:pPr>
        <w:jc w:val="center"/>
      </w:pPr>
      <w:r>
        <w:rPr>
          <w:rFonts w:ascii="Arial" w:hAnsi="Arial" w:eastAsia="Arial"/>
          <w:b w:val="0"/>
          <w:sz w:val="20"/>
        </w:rPr>
        <w:t>REV 14 (2026)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001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D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002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003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B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 xml:space="preserve">  ◎ Câu Chủ Chốt  </w:t>
            </w:r>
          </w:p>
        </w:tc>
        <w:tc>
          <w:tcPr>
            <w:tcW w:type="dxa" w:w="5213"/>
          </w:tcPr>
          <w:p>
            <w:r>
              <w:rPr>
                <w:rFonts w:ascii="Arial" w:hAnsi="Arial"/>
                <w:b/>
                <w:sz w:val="18"/>
              </w:rPr>
              <w:t>Tổng 1 câu chủ chốt (◎) — Sai câu này không đạt ngay, dù điểm tổng đạt yêu cầu.</w:t>
            </w:r>
          </w:p>
        </w:tc>
      </w:tr>
    </w:tbl>
    <w:p/>
    <w:p>
      <w:r>
        <w:rPr>
          <w:rFonts w:ascii="Arial" w:hAnsi="Arial" w:eastAsia="Arial"/>
          <w:b w:val="0"/>
          <w:sz w:val="16"/>
        </w:rPr>
        <w:t>Căn cứ: Hệ thống tài liệu tiêu chuẩn kỹ thuật BHCL Mabuchi Motor (Source 2-000 ~ 9-Z00).</w:t>
      </w:r>
    </w:p>
    <w:sectPr w:rsidR="00FC693F" w:rsidRPr="0006063C" w:rsidSect="00034616">
      <w:pgSz w:w="12240" w:h="15840"/>
      <w:pgMar w:top="1020" w:right="680" w:bottom="73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