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ĐÁP ÁN NHẬN ĐỊNH TƯ CÁCH NHÂN VIÊN VÀ ĐỘI TRƯỞNG PHÒNG KIỂM TRA</w:t>
      </w:r>
    </w:p>
    <w:p>
      <w:pPr>
        <w:jc w:val="center"/>
      </w:pPr>
      <w:r>
        <w:rPr>
          <w:rFonts w:ascii="Arial" w:hAnsi="Arial" w:eastAsia="Arial"/>
          <w:b w:val="0"/>
          <w:sz w:val="20"/>
        </w:rPr>
        <w:t>REV 14 (2026)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D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002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 xml:space="preserve">  ◎ Câu Chủ Chốt  </w:t>
            </w:r>
          </w:p>
        </w:tc>
        <w:tc>
          <w:tcPr>
            <w:tcW w:type="dxa" w:w="5213"/>
          </w:tcPr>
          <w:p>
            <w:r>
              <w:rPr>
                <w:rFonts w:ascii="Arial" w:hAnsi="Arial"/>
                <w:b/>
                <w:sz w:val="18"/>
              </w:rPr>
              <w:t>Tổng 1 câu chủ chốt (◎) — Sai câu này không đạt ngay, dù điểm tổng đạt yêu cầu.</w:t>
            </w:r>
          </w:p>
        </w:tc>
      </w:tr>
    </w:tbl>
    <w:p/>
    <w:p>
      <w:r>
        <w:rPr>
          <w:rFonts w:ascii="Arial" w:hAnsi="Arial" w:eastAsia="Arial"/>
          <w:b w:val="0"/>
          <w:sz w:val="16"/>
        </w:rPr>
        <w:t>Căn cứ: Hệ thống tài liệu tiêu chuẩn kỹ thuật BHCL Mabuchi Motor (Source 2-000 ~ 9-Z00).</w:t>
      </w:r>
    </w:p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