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508-2c: Liên quan tài liệu: Tài liệu tiêu chuẩn hiệu chỉnh và kiểm tra dụng cụ trắc định</w:t>
      </w:r>
    </w:p>
    <w:p>
      <w:r>
        <w:rPr>
          <w:rFonts w:ascii="Arial" w:hAnsi="Arial" w:eastAsia="Arial"/>
          <w:b w:val="0"/>
          <w:sz w:val="18"/>
        </w:rPr>
        <w:t>Đối tượng test: Đội LK, TP, ĐGSP, HC, GCCK</w:t>
      </w:r>
    </w:p>
    <w:p>
      <w:r>
        <w:rPr>
          <w:rFonts w:ascii="Arial" w:hAnsi="Arial" w:eastAsia="Arial"/>
          <w:b/>
          <w:sz w:val="20"/>
        </w:rPr>
        <w:t>Câu 001: ◎ Trong mục kiểm tra định kỳ (phần II), tiến độ kiểm tra đối với hạng mục 'Dạng điện chuẩn' (hạng mục điểm kiểm 4) được quy định tần suất thực hiện ra sao?</w:t>
      </w:r>
    </w:p>
    <w:p>
      <w:pPr>
        <w:ind w:left="454"/>
      </w:pPr>
      <w:r>
        <w:rPr>
          <w:rFonts w:ascii="Arial" w:hAnsi="Arial" w:eastAsia="Arial"/>
          <w:b w:val="0"/>
          <w:sz w:val="20"/>
        </w:rPr>
        <w:t>A. Mỗi lần sử dụng</w:t>
      </w:r>
    </w:p>
    <w:p>
      <w:pPr>
        <w:ind w:left="454"/>
      </w:pPr>
      <w:r>
        <w:rPr>
          <w:rFonts w:ascii="Arial" w:hAnsi="Arial" w:eastAsia="Arial"/>
          <w:b w:val="0"/>
          <w:sz w:val="20"/>
        </w:rPr>
        <w:t>B. 1 tháng/ 1 lần</w:t>
      </w:r>
    </w:p>
    <w:p>
      <w:pPr>
        <w:ind w:left="454"/>
      </w:pPr>
      <w:r>
        <w:rPr>
          <w:rFonts w:ascii="Arial" w:hAnsi="Arial" w:eastAsia="Arial"/>
          <w:b w:val="0"/>
          <w:sz w:val="20"/>
        </w:rPr>
        <w:t>C. 6 tháng/ 1 lần</w:t>
      </w:r>
    </w:p>
    <w:p>
      <w:pPr>
        <w:ind w:left="454"/>
      </w:pPr>
      <w:r>
        <w:rPr>
          <w:rFonts w:ascii="Arial" w:hAnsi="Arial" w:eastAsia="Arial"/>
          <w:b w:val="0"/>
          <w:sz w:val="20"/>
        </w:rPr>
        <w:t>D. 1 năm/ 1 lần</w:t>
      </w:r>
    </w:p>
    <w:p/>
    <w:p>
      <w:r>
        <w:rPr>
          <w:rFonts w:ascii="Arial" w:hAnsi="Arial" w:eastAsia="Arial"/>
          <w:b w:val="0"/>
          <w:sz w:val="20"/>
        </w:rPr>
        <w:t>Câu 002: Theo tiêu chuẩn hiệu chỉnh và kiểm tra dụng cụ trắc định 508-2c cho Máy thí nghiệm đa năng (Auto Graph series AG-E), chu kỳ hiệu chỉnh được quy định như thế nào?</w:t>
      </w:r>
    </w:p>
    <w:p>
      <w:pPr>
        <w:ind w:left="454"/>
      </w:pPr>
      <w:r>
        <w:rPr>
          <w:rFonts w:ascii="Arial" w:hAnsi="Arial" w:eastAsia="Arial"/>
          <w:b w:val="0"/>
          <w:sz w:val="20"/>
        </w:rPr>
        <w:t>A. Mỗi tuần một lần và khi có yêu cầu đặc biệt</w:t>
      </w:r>
    </w:p>
    <w:p>
      <w:pPr>
        <w:ind w:left="454"/>
      </w:pPr>
      <w:r>
        <w:rPr>
          <w:rFonts w:ascii="Arial" w:hAnsi="Arial" w:eastAsia="Arial"/>
          <w:b w:val="0"/>
          <w:sz w:val="20"/>
        </w:rPr>
        <w:t>B. Mỗi 3 tháng và khi cần thiết</w:t>
      </w:r>
    </w:p>
    <w:p>
      <w:pPr>
        <w:ind w:left="454"/>
      </w:pPr>
      <w:r>
        <w:rPr>
          <w:rFonts w:ascii="Arial" w:hAnsi="Arial" w:eastAsia="Arial"/>
          <w:b w:val="0"/>
          <w:sz w:val="20"/>
        </w:rPr>
        <w:t>C. Định kỳ 6 tháng một lần</w:t>
      </w:r>
    </w:p>
    <w:p>
      <w:pPr>
        <w:ind w:left="454"/>
      </w:pPr>
      <w:r>
        <w:rPr>
          <w:rFonts w:ascii="Arial" w:hAnsi="Arial" w:eastAsia="Arial"/>
          <w:b w:val="0"/>
          <w:sz w:val="20"/>
        </w:rPr>
        <w:t>D. Chỉ thực hiện một lần khi đưa máy vào sử dụng</w:t>
      </w:r>
    </w:p>
    <w:p/>
    <w:p>
      <w:r>
        <w:rPr>
          <w:rFonts w:ascii="Arial" w:hAnsi="Arial" w:eastAsia="Arial"/>
          <w:b w:val="0"/>
          <w:sz w:val="20"/>
        </w:rPr>
        <w:t>Câu 003: Theo tài liệu, khi thực hiện việc bôi trơn và tra dầu mỡ cho các bộ phận hoạt động (hạng mục điểm kiểm 5), loại dầu mỡ nào được chỉ định dùng cho các ốc vít?</w:t>
      </w:r>
    </w:p>
    <w:p>
      <w:pPr>
        <w:ind w:left="454"/>
      </w:pPr>
      <w:r>
        <w:rPr>
          <w:rFonts w:ascii="Arial" w:hAnsi="Arial" w:eastAsia="Arial"/>
          <w:b w:val="0"/>
          <w:sz w:val="20"/>
        </w:rPr>
        <w:t>A. Dầu nhớt động cơ xe máy phổ thông</w:t>
      </w:r>
    </w:p>
    <w:p>
      <w:pPr>
        <w:ind w:left="454"/>
      </w:pPr>
      <w:r>
        <w:rPr>
          <w:rFonts w:ascii="Arial" w:hAnsi="Arial" w:eastAsia="Arial"/>
          <w:b w:val="0"/>
          <w:sz w:val="20"/>
        </w:rPr>
        <w:t>B. Dầu vạn năng NLG No.2</w:t>
      </w:r>
    </w:p>
    <w:p>
      <w:pPr>
        <w:ind w:left="454"/>
      </w:pPr>
      <w:r>
        <w:rPr>
          <w:rFonts w:ascii="Arial" w:hAnsi="Arial" w:eastAsia="Arial"/>
          <w:b w:val="0"/>
          <w:sz w:val="20"/>
        </w:rPr>
        <w:t>C. Dầu thủy lực chống mài mòn ISO VG 68</w:t>
      </w:r>
    </w:p>
    <w:p>
      <w:pPr>
        <w:ind w:left="454"/>
      </w:pPr>
      <w:r>
        <w:rPr>
          <w:rFonts w:ascii="Arial" w:hAnsi="Arial" w:eastAsia="Arial"/>
          <w:b w:val="0"/>
          <w:sz w:val="20"/>
        </w:rPr>
        <w:t>D. Mỡ chịu nhiệt độ cao chuyên dụng</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