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508-4f: Liên quan tài liệu: BẢN TIÊU CHUẨN HIỆU CHỈNH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Tiến độ điểm kiểm cho các hạng mục thông thường trên máy thí nghiệm vạn năng được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năm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 (Riêng hạng mục 4 bôi dầu mỡ là mỗi tháng 1 lần)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 w:val="0"/>
          <w:sz w:val="20"/>
        </w:rPr>
        <w:t>Câu 002: Theo tài liệu, chu kỳ hiệu chỉnh của máy thí nghiệm vạn năng (Shimazu Refresh)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lần sử dụng</w:t>
      </w:r>
    </w:p>
    <w:p/>
    <w:p>
      <w:r>
        <w:rPr>
          <w:rFonts w:ascii="Arial" w:hAnsi="Arial" w:eastAsia="Arial"/>
          <w:b/>
          <w:sz w:val="20"/>
        </w:rPr>
        <w:t>Câu 003: ◎ Theo mục chú ý về điểm kiểm, trường hợp kết quả điểm kiểm có dị thường thì nhân viên phải xử lý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máy ra sửa chữa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máy bình thường và ghi vào sổ tay cá nhân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ghi chép lại kết quả điểm kiểm,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báo cáo nếu máy vẫn chạy được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