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512-1d: Liên quan tài liệu: Tài liệu tiêu chuẩn hiệu chỉnh và kiểm tra dụng cụ trắc định DỤNG CỤ ĐO NGẪU LỰC TYPE : TG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phần Ghi chú kiểm tra (trang 5), trường hợp kết quả kiểm tra không thấy bất thường thì tần suất ghi chép kết quả tối thiểu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nếu không có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Ghi chép lại vào cuối mỗi năm</w:t>
      </w:r>
    </w:p>
    <w:p/>
    <w:p>
      <w:r>
        <w:rPr>
          <w:rFonts w:ascii="Arial" w:hAnsi="Arial" w:eastAsia="Arial"/>
          <w:b w:val="0"/>
          <w:sz w:val="20"/>
        </w:rPr>
        <w:t>Câu 002: Theo mục II 【Điểm kiểm】, tiến độ kiểm tra đối với dụng cụ đo ngẫu lực (Type: TG)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/>
          <w:sz w:val="20"/>
        </w:rPr>
        <w:t>Câu 003: ◎ Theo mục I 【Hiệu chỉnh】, sai số cho phép đối với độ chính xác chỉ thị của dụng cụ đo ngẫu lực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±5%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