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513-1i: Liên quan tài liệu: Tài liệu tiêu chuẩn hiệu chỉnh và kiểm tra dụng cụ trắc định - Đồng hồ đo lực nén ép (Dạng Analog)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Ghi chú về điểm kiểm, trường hợp kết quả kiểm tra không thấy bất thường thì quy định ghi chép kết quả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biên bản kiểm tra sau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khi phát hiện có sự cố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Bắt buộc phải ghi chép nhật ký kiểm tra hàng ngày vào hệ thống máy tính</w:t>
      </w:r>
    </w:p>
    <w:p/>
    <w:p>
      <w:r>
        <w:rPr>
          <w:rFonts w:ascii="Arial" w:hAnsi="Arial" w:eastAsia="Arial"/>
          <w:b w:val="0"/>
          <w:sz w:val="20"/>
        </w:rPr>
        <w:t>Câu 002: Theo tiêu chuẩn kiểm tra, tiến độ kiểm tra Đồng hồ đo lực nén ép (Dạng Analog) được quy định thực hiện vào thời điểm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/>
          <w:sz w:val="20"/>
        </w:rPr>
        <w:t>Câu 003: ◎ Khi thực hiện hiệu chỉnh tải trọng cho đồng hồ đo lực nén ép loại FS/FB, khoảng cách dung sai (khoảng cho phép) so với F.S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±0.2% của 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±0.4% của 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±0.6% của 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±1.0% của F.S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