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515-2: Liên quan tài liệu: Bản tiêu chuẩn hiệu chỉnh-điểm kiểm Đồng hồ kỹ thuật số 0.01mm (Dạng có bộ tính toán biểu thị)</w:t>
      </w:r>
    </w:p>
    <w:p>
      <w:r>
        <w:rPr>
          <w:rFonts w:ascii="Arial" w:hAnsi="Arial" w:eastAsia="Arial"/>
          <w:b w:val="0"/>
          <w:sz w:val="18"/>
        </w:rPr>
        <w:t>Đối tượng test: Đội LK, TP, ĐGSP, HC, GCCK</w:t>
      </w:r>
    </w:p>
    <w:p>
      <w:r>
        <w:rPr>
          <w:rFonts w:ascii="Arial" w:hAnsi="Arial" w:eastAsia="Arial"/>
          <w:b/>
          <w:sz w:val="20"/>
        </w:rPr>
        <w:t>Câu 001: ◎ Theo mục Ghi chú về điểm kiểm, trong trường hợp kết quả kiểm tra không thấy bất thường thì quy định ghi chép lại kết quả như thế nào là đúng?</w:t>
      </w:r>
    </w:p>
    <w:p>
      <w:pPr>
        <w:ind w:left="454"/>
      </w:pPr>
      <w:r>
        <w:rPr>
          <w:rFonts w:ascii="Arial" w:hAnsi="Arial" w:eastAsia="Arial"/>
          <w:b w:val="0"/>
          <w:sz w:val="20"/>
        </w:rPr>
        <w:t>A. Không cần ghi chép lại kết quả dưới mọi hình thức</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Phải ghi chép đầy đủ 3 lần mỗi ngày vào sổ quản lý thiết bị</w:t>
      </w:r>
    </w:p>
    <w:p>
      <w:pPr>
        <w:ind w:left="454"/>
      </w:pPr>
      <w:r>
        <w:rPr>
          <w:rFonts w:ascii="Arial" w:hAnsi="Arial" w:eastAsia="Arial"/>
          <w:b w:val="0"/>
          <w:sz w:val="20"/>
        </w:rPr>
        <w:t>D. Chỉ ghi chép khi có sự cố phát sinh trong quá trình sử dụng</w:t>
      </w:r>
    </w:p>
    <w:p/>
    <w:p>
      <w:r>
        <w:rPr>
          <w:rFonts w:ascii="Arial" w:hAnsi="Arial" w:eastAsia="Arial"/>
          <w:b w:val="0"/>
          <w:sz w:val="20"/>
        </w:rPr>
        <w:t>Câu 002: Khi tiến hành kiểm tra hạng mục 'Ngoại quan' (Mục 1 của phần Điểm kiểm), phương pháp phán định đối với độ bóng của đầu mũi đo là gì?</w:t>
      </w:r>
    </w:p>
    <w:p>
      <w:pPr>
        <w:ind w:left="454"/>
      </w:pPr>
      <w:r>
        <w:rPr>
          <w:rFonts w:ascii="Arial" w:hAnsi="Arial" w:eastAsia="Arial"/>
          <w:b w:val="0"/>
          <w:sz w:val="20"/>
        </w:rPr>
        <w:t>A. Độ bóng phải thật sáng bóng như gương mới</w:t>
      </w:r>
    </w:p>
    <w:p>
      <w:pPr>
        <w:ind w:left="454"/>
      </w:pPr>
      <w:r>
        <w:rPr>
          <w:rFonts w:ascii="Arial" w:hAnsi="Arial" w:eastAsia="Arial"/>
          <w:b w:val="0"/>
          <w:sz w:val="20"/>
        </w:rPr>
        <w:t>B. Độ bóng tùy thuộc vào nhà sản xuất</w:t>
      </w:r>
    </w:p>
    <w:p>
      <w:pPr>
        <w:ind w:left="454"/>
      </w:pPr>
      <w:r>
        <w:rPr>
          <w:rFonts w:ascii="Arial" w:hAnsi="Arial" w:eastAsia="Arial"/>
          <w:b w:val="0"/>
          <w:sz w:val="20"/>
        </w:rPr>
        <w:t>C. Độ bóng phải đều</w:t>
      </w:r>
    </w:p>
    <w:p>
      <w:pPr>
        <w:ind w:left="454"/>
      </w:pPr>
      <w:r>
        <w:rPr>
          <w:rFonts w:ascii="Arial" w:hAnsi="Arial" w:eastAsia="Arial"/>
          <w:b w:val="0"/>
          <w:sz w:val="20"/>
        </w:rPr>
        <w:t>D. Không có yêu cầu về độ bóng miễn là không mòn</w:t>
      </w:r>
    </w:p>
    <w:p/>
    <w:p>
      <w:r>
        <w:rPr>
          <w:rFonts w:ascii="Arial" w:hAnsi="Arial" w:eastAsia="Arial"/>
          <w:b w:val="0"/>
          <w:sz w:val="20"/>
        </w:rPr>
        <w:t>Câu 003: Theo mục 'Tiến độ điểm kiểm', thời gian và tần suất thực hiện việc điểm kiểm đối với đồng hồ kỹ thuật số 0.01mm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làm việc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