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519-1i: Liên quan tài liệu: Geji Cylinder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 định kỳ, chu kỳ hiệu chỉnh của Geji Cylinder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khi sử dụng</w:t>
      </w:r>
    </w:p>
    <w:p/>
    <w:p>
      <w:r>
        <w:rPr>
          <w:rFonts w:ascii="Arial" w:hAnsi="Arial" w:eastAsia="Arial"/>
          <w:b/>
          <w:sz w:val="20"/>
        </w:rPr>
        <w:t>Câu 002: ◎ Trong trường hợp kết quả điểm kiểm có dị thường, nhân viên quản lý cần thực hiện thao tác nào theo quy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sửa chữa lại thiết bị ngay lập tức rồi tiếp tục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Bỏ qua kết quả dị thường và tiếp tục kiểm tra lô hàng tiếp theo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 đã điểm kiểm và xử lý theo chỉ thị của người chịu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báo cáo miệng cho bộ phận sản xuất mà không cần ghi chép lại</w:t>
      </w:r>
    </w:p>
    <w:p/>
    <w:p>
      <w:r>
        <w:rPr>
          <w:rFonts w:ascii="Arial" w:hAnsi="Arial" w:eastAsia="Arial"/>
          <w:b w:val="0"/>
          <w:sz w:val="20"/>
        </w:rPr>
        <w:t>Câu 003: Thông số tiêu chuẩn cho 'Sai số tiếp giáp' của Geji Cylinder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0.010mm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0.004mm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0.002 mm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0.005mm trở xuống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