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520-3e: Liên quan tài liệu: Bản tiêu chuẩn hiệu chỉnh và điểm kiểm thiết bị đo đạc - Thước kẹp điện tử</w:t>
      </w:r>
    </w:p>
    <w:p>
      <w:r>
        <w:rPr>
          <w:rFonts w:ascii="Arial" w:hAnsi="Arial" w:eastAsia="Arial"/>
          <w:b w:val="0"/>
          <w:sz w:val="18"/>
        </w:rPr>
        <w:t>Đối tượng test: Đội LK, TP, ĐGSP, HC, GCCK</w:t>
      </w:r>
    </w:p>
    <w:p>
      <w:r>
        <w:rPr>
          <w:rFonts w:ascii="Arial" w:hAnsi="Arial" w:eastAsia="Arial"/>
          <w:b/>
          <w:sz w:val="20"/>
        </w:rPr>
        <w:t>Câu 001: ◎ Trong mục điểm kiểm ngoại quan và hoạt động, nếu phát hiện có bất thường trong quá trình sử dụng, kỹ lục lại kết quả điểm kiểm thì nhân viên thao tác cần xử lý như thế nào?</w:t>
      </w:r>
    </w:p>
    <w:p>
      <w:pPr>
        <w:ind w:left="454"/>
      </w:pPr>
      <w:r>
        <w:rPr>
          <w:rFonts w:ascii="Arial" w:hAnsi="Arial" w:eastAsia="Arial"/>
          <w:b w:val="0"/>
          <w:sz w:val="20"/>
        </w:rPr>
        <w:t>A. Bỏ qua nếu không ảnh hưởng lớn đến kích thước đo</w:t>
      </w:r>
    </w:p>
    <w:p>
      <w:pPr>
        <w:ind w:left="454"/>
      </w:pPr>
      <w:r>
        <w:rPr>
          <w:rFonts w:ascii="Arial" w:hAnsi="Arial" w:eastAsia="Arial"/>
          <w:b w:val="0"/>
          <w:sz w:val="20"/>
        </w:rPr>
        <w:t>B. Tự ý điều chỉnh lại vít của thước kẹp</w:t>
      </w:r>
    </w:p>
    <w:p>
      <w:pPr>
        <w:ind w:left="454"/>
      </w:pPr>
      <w:r>
        <w:rPr>
          <w:rFonts w:ascii="Arial" w:hAnsi="Arial" w:eastAsia="Arial"/>
          <w:b w:val="0"/>
          <w:sz w:val="20"/>
        </w:rPr>
        <w:t>C. Xử lý theo chỉ thị của người có trách nhiệm quản lý</w:t>
      </w:r>
    </w:p>
    <w:p>
      <w:pPr>
        <w:ind w:left="454"/>
      </w:pPr>
      <w:r>
        <w:rPr>
          <w:rFonts w:ascii="Arial" w:hAnsi="Arial" w:eastAsia="Arial"/>
          <w:b w:val="0"/>
          <w:sz w:val="20"/>
        </w:rPr>
        <w:t>D. Tiếp tục sử dụng nhưng ghi chú vào sổ theo dõi</w:t>
      </w:r>
    </w:p>
    <w:p/>
    <w:p>
      <w:r>
        <w:rPr>
          <w:rFonts w:ascii="Arial" w:hAnsi="Arial" w:eastAsia="Arial"/>
          <w:b w:val="0"/>
          <w:sz w:val="20"/>
        </w:rPr>
        <w:t>Câu 002: Khi kiểm tra độ chính xác lặp lại và điều chỉnh 0 của thước kẹp điện tử, dung sai cho phép là bao nhiêu?</w:t>
      </w:r>
    </w:p>
    <w:p>
      <w:pPr>
        <w:ind w:left="454"/>
      </w:pPr>
      <w:r>
        <w:rPr>
          <w:rFonts w:ascii="Arial" w:hAnsi="Arial" w:eastAsia="Arial"/>
          <w:b w:val="0"/>
          <w:sz w:val="20"/>
        </w:rPr>
        <w:t>A. ±0.01 mm</w:t>
      </w:r>
    </w:p>
    <w:p>
      <w:pPr>
        <w:ind w:left="454"/>
      </w:pPr>
      <w:r>
        <w:rPr>
          <w:rFonts w:ascii="Arial" w:hAnsi="Arial" w:eastAsia="Arial"/>
          <w:b w:val="0"/>
          <w:sz w:val="20"/>
        </w:rPr>
        <w:t>B. ±0.03 mm</w:t>
      </w:r>
    </w:p>
    <w:p>
      <w:pPr>
        <w:ind w:left="454"/>
      </w:pPr>
      <w:r>
        <w:rPr>
          <w:rFonts w:ascii="Arial" w:hAnsi="Arial" w:eastAsia="Arial"/>
          <w:b w:val="0"/>
          <w:sz w:val="20"/>
        </w:rPr>
        <w:t>C. ±0.05 mm</w:t>
      </w:r>
    </w:p>
    <w:p>
      <w:pPr>
        <w:ind w:left="454"/>
      </w:pPr>
      <w:r>
        <w:rPr>
          <w:rFonts w:ascii="Arial" w:hAnsi="Arial" w:eastAsia="Arial"/>
          <w:b w:val="0"/>
          <w:sz w:val="20"/>
        </w:rPr>
        <w:t>D. ±0.07 mm</w:t>
      </w:r>
    </w:p>
    <w:p/>
    <w:p>
      <w:r>
        <w:rPr>
          <w:rFonts w:ascii="Arial" w:hAnsi="Arial" w:eastAsia="Arial"/>
          <w:b w:val="0"/>
          <w:sz w:val="20"/>
        </w:rPr>
        <w:t>Câu 003: Theo tiêu chuẩn hiệu chỉnh thiết bị đo, chu kỳ hiệu chỉnh cho Thước kẹp điện tử (Mitutoyo No. 500-501-50 và 551-204-50) là bao lâu?</w:t>
      </w:r>
    </w:p>
    <w:p>
      <w:pPr>
        <w:ind w:left="454"/>
      </w:pPr>
      <w:r>
        <w:rPr>
          <w:rFonts w:ascii="Arial" w:hAnsi="Arial" w:eastAsia="Arial"/>
          <w:b w:val="0"/>
          <w:sz w:val="20"/>
        </w:rPr>
        <w:t>A. 12 tháng và khi cần thiết</w:t>
      </w:r>
    </w:p>
    <w:p>
      <w:pPr>
        <w:ind w:left="454"/>
      </w:pPr>
      <w:r>
        <w:rPr>
          <w:rFonts w:ascii="Arial" w:hAnsi="Arial" w:eastAsia="Arial"/>
          <w:b w:val="0"/>
          <w:sz w:val="20"/>
        </w:rPr>
        <w:t>B. 24 tháng và khi cần thiết</w:t>
      </w:r>
    </w:p>
    <w:p>
      <w:pPr>
        <w:ind w:left="454"/>
      </w:pPr>
      <w:r>
        <w:rPr>
          <w:rFonts w:ascii="Arial" w:hAnsi="Arial" w:eastAsia="Arial"/>
          <w:b w:val="0"/>
          <w:sz w:val="20"/>
        </w:rPr>
        <w:t>C. 6 tháng và khi cần thiết</w:t>
      </w:r>
    </w:p>
    <w:p>
      <w:pPr>
        <w:ind w:left="454"/>
      </w:pPr>
      <w:r>
        <w:rPr>
          <w:rFonts w:ascii="Arial" w:hAnsi="Arial" w:eastAsia="Arial"/>
          <w:b w:val="0"/>
          <w:sz w:val="20"/>
        </w:rPr>
        <w:t>D. 36 tháng và khi cần thiết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