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530-1f: Liên quan tài liệu: Tài liệu tiêu chuẩn hiệu chỉnh và kiểm tra dụng cụ trắc định Geji giới hạn 2 đầu dạng tròn đều</w:t>
      </w:r>
    </w:p>
    <w:p>
      <w:r>
        <w:rPr>
          <w:rFonts w:ascii="Arial" w:hAnsi="Arial" w:eastAsia="Arial"/>
          <w:b w:val="0"/>
          <w:sz w:val="18"/>
        </w:rPr>
        <w:t>Đối tượng test: Đội LK, TP, ĐGSP, HC, GCCK</w:t>
      </w:r>
    </w:p>
    <w:p>
      <w:r>
        <w:rPr>
          <w:rFonts w:ascii="Arial" w:hAnsi="Arial" w:eastAsia="Arial"/>
          <w:b w:val="0"/>
          <w:sz w:val="20"/>
        </w:rPr>
        <w:t>Câu 001: Theo tài liệu, tiến độ thực hiện điểm kiểm đối với Geji giới hạn 2 đầu dạng tròn đều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trước khi sử dụng</w:t>
      </w:r>
    </w:p>
    <w:p>
      <w:pPr>
        <w:ind w:left="454"/>
      </w:pPr>
      <w:r>
        <w:rPr>
          <w:rFonts w:ascii="Arial" w:hAnsi="Arial" w:eastAsia="Arial"/>
          <w:b w:val="0"/>
          <w:sz w:val="20"/>
        </w:rPr>
        <w:t>D. 6 tháng 1 lần hoặc khi có yêu cầu</w:t>
      </w:r>
    </w:p>
    <w:p/>
    <w:p>
      <w:r>
        <w:rPr>
          <w:rFonts w:ascii="Arial" w:hAnsi="Arial" w:eastAsia="Arial"/>
          <w:b/>
          <w:sz w:val="20"/>
        </w:rPr>
        <w:t>Câu 002: ◎ Trong quá trình kiểm tra (hoặc khi sử dụng) nếu phát hiện có bất thường đối với dụng cụ, thao tác xử lý nào sau đây là đúng theo quy định?</w:t>
      </w:r>
    </w:p>
    <w:p>
      <w:pPr>
        <w:ind w:left="454"/>
      </w:pPr>
      <w:r>
        <w:rPr>
          <w:rFonts w:ascii="Arial" w:hAnsi="Arial" w:eastAsia="Arial"/>
          <w:b w:val="0"/>
          <w:sz w:val="20"/>
        </w:rPr>
        <w:t>A. Tự ý mài giũa lại phần bị mòn để tiếp tục sử dụng trong chuyền</w:t>
      </w:r>
    </w:p>
    <w:p>
      <w:pPr>
        <w:ind w:left="454"/>
      </w:pPr>
      <w:r>
        <w:rPr>
          <w:rFonts w:ascii="Arial" w:hAnsi="Arial" w:eastAsia="Arial"/>
          <w:b w:val="0"/>
          <w:sz w:val="20"/>
        </w:rPr>
        <w:t>B. Bỏ qua nếu sai số nhỏ hơn giới hạn cho phép của thợ đứng máy</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Lập tức vứt bỏ vào thùng rác phế liệu mà không cần báo cáo</w:t>
      </w:r>
    </w:p>
    <w:p/>
    <w:p>
      <w:r>
        <w:rPr>
          <w:rFonts w:ascii="Arial" w:hAnsi="Arial" w:eastAsia="Arial"/>
          <w:b w:val="0"/>
          <w:sz w:val="20"/>
        </w:rPr>
        <w:t>Câu 003: Khi đo kích thước đường kính ngoài của phía thông và phía chặn trong quá trình hiệu chỉnh, phương pháp đo điểm được quy định ra sao?</w:t>
      </w:r>
    </w:p>
    <w:p>
      <w:pPr>
        <w:ind w:left="454"/>
      </w:pPr>
      <w:r>
        <w:rPr>
          <w:rFonts w:ascii="Arial" w:hAnsi="Arial" w:eastAsia="Arial"/>
          <w:b w:val="0"/>
          <w:sz w:val="20"/>
        </w:rPr>
        <w:t>A. Đo 4 điểm A, B theo 2 hướng 1 và 2</w:t>
      </w:r>
    </w:p>
    <w:p>
      <w:pPr>
        <w:ind w:left="454"/>
      </w:pPr>
      <w:r>
        <w:rPr>
          <w:rFonts w:ascii="Arial" w:hAnsi="Arial" w:eastAsia="Arial"/>
          <w:b w:val="0"/>
          <w:sz w:val="20"/>
        </w:rPr>
        <w:t>B. Đo 1 điểm A và 1 điểm B theo hướng X</w:t>
      </w:r>
    </w:p>
    <w:p>
      <w:pPr>
        <w:ind w:left="454"/>
      </w:pPr>
      <w:r>
        <w:rPr>
          <w:rFonts w:ascii="Arial" w:hAnsi="Arial" w:eastAsia="Arial"/>
          <w:b w:val="0"/>
          <w:sz w:val="20"/>
        </w:rPr>
        <w:t>C. Đo 2 điểm A, B theo 2 hướng Y</w:t>
      </w:r>
    </w:p>
    <w:p>
      <w:pPr>
        <w:ind w:left="454"/>
      </w:pPr>
      <w:r>
        <w:rPr>
          <w:rFonts w:ascii="Arial" w:hAnsi="Arial" w:eastAsia="Arial"/>
          <w:b w:val="0"/>
          <w:sz w:val="20"/>
        </w:rPr>
        <w:t>D. Đo 3 điểm đều nhau xung quanh viền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