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Đo đạc 531-12a: Liên quan tài liệu: Bản Tiêu Chuẩn Điểm Kiểm - Hiệu Chỉnh Máy đo LCR kỹ thuật số (HIOKI IM3523, IM3533)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Khi kết quả điểm kiểm phát sinh dị thường hoặc trong 1 tháng kết quả điểm kiểm không có dị thường, nhân viên vận hành cần phải xử lý và ghi chép như thế nào theo đúng hướng dẫn?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thiết bị và tiếp tục sử dụng bình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lại kết quả dị thường và xử lý theo chỉ thị của người có trách nhiệm quản lý; đồng thời trong 1 tháng không có dị thường thì cũng phải ghi chép lại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Bỏ qua không cần ghi chép nếu thiết bị vẫn đo được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báo cáo quản lý khi thiết bị hỏng hoàn toàn</w:t>
      </w:r>
    </w:p>
    <w:p/>
    <w:p>
      <w:r>
        <w:rPr>
          <w:rFonts w:ascii="Arial" w:hAnsi="Arial" w:eastAsia="Arial"/>
          <w:b w:val="0"/>
          <w:sz w:val="20"/>
        </w:rPr>
        <w:t>Câu 002: Trước khi tiến hành đo và kiểm tra ngoại quan máy đo LCR kỹ thuật số, cần thực hiện thao tác khởi động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Bật nguồn và làm nóng ít nhất trong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Bật nguồn và sử dụng ngay lập tức không cần chờ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Hiệu chuẩn lại thiết bị trong 15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điện áp nguồn liên tục trong 1 giờ</w:t>
      </w:r>
    </w:p>
    <w:p/>
    <w:p>
      <w:r>
        <w:rPr>
          <w:rFonts w:ascii="Arial" w:hAnsi="Arial" w:eastAsia="Arial"/>
          <w:b w:val="0"/>
          <w:sz w:val="20"/>
        </w:rPr>
        <w:t>Câu 003: Theo tiêu chuẩn, chu kỳ hiệu chỉnh cho máy đo LCR kỹ thuật số (HIOKI IM3523, IM3533)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Cứ sau 6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Cứ sau 12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Cứ sau 24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Cứ sau 36 tháng hoặc khi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