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531-5d: Liên quan tài liệu: BẢN TIÊU CHUẨN HIỆU CHỈNH DỤNG CỤ ĐO - Máy đo LCR kỹ thuật số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phần 'Chú ý' tại mục Điểm kiểm (trang 5), trường hợp kết quả điểm kiểm có dị thường thì phải xử lý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Bỏ qua không cần ghi chép nếu máy vẫn khởi động bình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ghi chép lại kết quả điểm kiểm,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báo cáo miệng cho tổ trưởng và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Tự ý tháo máy để sửa chữa mạch bên trong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chu kỳ hiệu chuẩn định kỳ đối với máy đo LCR kỹ thuật số (mã 3522-50, 3532-50, IM 3536)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24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</w:t>
      </w:r>
    </w:p>
    <w:p/>
    <w:p>
      <w:r>
        <w:rPr>
          <w:rFonts w:ascii="Arial" w:hAnsi="Arial" w:eastAsia="Arial"/>
          <w:b w:val="0"/>
          <w:sz w:val="20"/>
        </w:rPr>
        <w:t>Câu 003: Khi thực hiện quy trình chuẩn bị trước khi hiệu chỉnh/kiểm tra máy đo LCR IM3536 (ví dụ theo mục 1 của tài liệu bổ sung), thời gian làm nóng máy (warm-up) tối thiểu là bao nhiêu phút?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30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45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120 phút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