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532-4 b: Liên quan tài liệu: BẢN TIÊU CHUẨN HIỆU CHỈNH – ĐIỂM KIỂM MÁY ĐO</w:t>
      </w:r>
    </w:p>
    <w:p>
      <w:r>
        <w:rPr>
          <w:rFonts w:ascii="Arial" w:hAnsi="Arial" w:eastAsia="Arial"/>
          <w:b w:val="0"/>
          <w:sz w:val="18"/>
        </w:rPr>
        <w:t>Đối tượng test: Đội LK, TP, ĐGSP, HC, GCCK</w:t>
      </w:r>
    </w:p>
    <w:p>
      <w:r>
        <w:rPr>
          <w:rFonts w:ascii="Arial" w:hAnsi="Arial" w:eastAsia="Arial"/>
          <w:b w:val="0"/>
          <w:sz w:val="20"/>
        </w:rPr>
        <w:t>Câu 001: Theo tiêu chuẩn, tần suất thực hiện điểm kiểm máy đo Gauss (Sản phẩm GM-5005/GM-5015) là bao lâu?</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12 tháng</w:t>
      </w:r>
    </w:p>
    <w:p>
      <w:pPr>
        <w:ind w:left="454"/>
      </w:pPr>
      <w:r>
        <w:rPr>
          <w:rFonts w:ascii="Arial" w:hAnsi="Arial" w:eastAsia="Arial"/>
          <w:b w:val="0"/>
          <w:sz w:val="20"/>
        </w:rPr>
        <w:t>D. Trước mỗi ca sản xuất</w:t>
      </w:r>
    </w:p>
    <w:p/>
    <w:p>
      <w:r>
        <w:rPr>
          <w:rFonts w:ascii="Arial" w:hAnsi="Arial" w:eastAsia="Arial"/>
          <w:b w:val="0"/>
          <w:sz w:val="20"/>
        </w:rPr>
        <w:t>Câu 002: Khi tiến hành kiểm tra đầu đo và kết nối với chấu điện PROBE, loại đầu đo nào sau đây KHÔNG được phép sử dụng để đo đạc theo tài liệu?</w:t>
      </w:r>
    </w:p>
    <w:p>
      <w:pPr>
        <w:ind w:left="454"/>
      </w:pPr>
      <w:r>
        <w:rPr>
          <w:rFonts w:ascii="Arial" w:hAnsi="Arial" w:eastAsia="Arial"/>
          <w:b w:val="0"/>
          <w:sz w:val="20"/>
        </w:rPr>
        <w:t>A. &lt;General&gt; (Đầu đo thông thường)</w:t>
      </w:r>
    </w:p>
    <w:p>
      <w:pPr>
        <w:ind w:left="454"/>
      </w:pPr>
      <w:r>
        <w:rPr>
          <w:rFonts w:ascii="Arial" w:hAnsi="Arial" w:eastAsia="Arial"/>
          <w:b w:val="0"/>
          <w:sz w:val="20"/>
        </w:rPr>
        <w:t>B. &lt;Special&gt; (Đầu đo đặc thù)</w:t>
      </w:r>
    </w:p>
    <w:p>
      <w:pPr>
        <w:ind w:left="454"/>
      </w:pPr>
      <w:r>
        <w:rPr>
          <w:rFonts w:ascii="Arial" w:hAnsi="Arial" w:eastAsia="Arial"/>
          <w:b w:val="0"/>
          <w:sz w:val="20"/>
        </w:rPr>
        <w:t>C. &lt;HightMagnetic 10T&gt; (Đầu đo 10T)</w:t>
      </w:r>
    </w:p>
    <w:p>
      <w:pPr>
        <w:ind w:left="454"/>
      </w:pPr>
      <w:r>
        <w:rPr>
          <w:rFonts w:ascii="Arial" w:hAnsi="Arial" w:eastAsia="Arial"/>
          <w:b w:val="0"/>
          <w:sz w:val="20"/>
        </w:rPr>
        <w:t>D. &lt;Unknown&gt; (Đầu đo không dùng cho đối ứng)</w:t>
      </w:r>
    </w:p>
    <w:p/>
    <w:p>
      <w:r>
        <w:rPr>
          <w:rFonts w:ascii="Arial" w:hAnsi="Arial" w:eastAsia="Arial"/>
          <w:b/>
          <w:sz w:val="20"/>
        </w:rPr>
        <w:t>Câu 003: ◎ Theo hướng dẫn bảo quản và ngoại quan đầu đo Gauss, đối với đầu đo ngoài những lúc đo đạc thực tế thì phải đảm bảo điều gì?</w:t>
      </w:r>
    </w:p>
    <w:p>
      <w:pPr>
        <w:ind w:left="454"/>
      </w:pPr>
      <w:r>
        <w:rPr>
          <w:rFonts w:ascii="Arial" w:hAnsi="Arial" w:eastAsia="Arial"/>
          <w:b w:val="0"/>
          <w:sz w:val="20"/>
        </w:rPr>
        <w:t>A. Phải được lau chùi bằng cồn chuyên dụng trước khi cất</w:t>
      </w:r>
    </w:p>
    <w:p>
      <w:pPr>
        <w:ind w:left="454"/>
      </w:pPr>
      <w:r>
        <w:rPr>
          <w:rFonts w:ascii="Arial" w:hAnsi="Arial" w:eastAsia="Arial"/>
          <w:b w:val="0"/>
          <w:sz w:val="20"/>
        </w:rPr>
        <w:t>B. Phải đảm bảo được bảo vệ bằng nắp acrylic</w:t>
      </w:r>
    </w:p>
    <w:p>
      <w:pPr>
        <w:ind w:left="454"/>
      </w:pPr>
      <w:r>
        <w:rPr>
          <w:rFonts w:ascii="Arial" w:hAnsi="Arial" w:eastAsia="Arial"/>
          <w:b w:val="0"/>
          <w:sz w:val="20"/>
        </w:rPr>
        <w:t>C. Phải tháo rời khỏi thân máy để bảo quản trong hộp chống ẩm</w:t>
      </w:r>
    </w:p>
    <w:p>
      <w:pPr>
        <w:ind w:left="454"/>
      </w:pPr>
      <w:r>
        <w:rPr>
          <w:rFonts w:ascii="Arial" w:hAnsi="Arial" w:eastAsia="Arial"/>
          <w:b w:val="0"/>
          <w:sz w:val="20"/>
        </w:rPr>
        <w:t>D. Phải được quấn băng keo bảo vệ phần tử Hall</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