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537-1: Liên quan tài liệu: BẢN TIÊU CHUẨN ĐIỀM KIỆM HIỆU CHÍNH DỤNG CỤ ĐO (Máy đo hình dáng độ nhám bề mặt Tokyo Seimitsu surfcom 554A, 475A, 574A, 200B)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chấm dầu cho dụng cụ đo tại mục II (Điểm kiểm), tần suất tháo nắp trên của trụ ra và châm dầu vào bộ phận đỡ trục 1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năm 1 lần</w:t>
      </w:r>
    </w:p>
    <w:p/>
    <w:p>
      <w:r>
        <w:rPr>
          <w:rFonts w:ascii="Arial" w:hAnsi="Arial" w:eastAsia="Arial"/>
          <w:b w:val="0"/>
          <w:sz w:val="20"/>
        </w:rPr>
        <w:t>Câu 002: Theo mục I (Hiệu chỉnh) của tiêu chuẩn, chu kỳ hiệu chỉnh đối với dụng cụ đo 537-1 g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 và khi đã được xác định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3 tháng và khi được xác định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năm 1 lần</w:t>
      </w:r>
    </w:p>
    <w:p/>
    <w:p>
      <w:r>
        <w:rPr>
          <w:rFonts w:ascii="Arial" w:hAnsi="Arial" w:eastAsia="Arial"/>
          <w:b/>
          <w:sz w:val="20"/>
        </w:rPr>
        <w:t>Câu 003: ◎ Theo mục II (Điểm kiểm), khi kiểm tra tình trạng của kim đo, ta cần xác định vấn đề quan trọng nào để đảm bảo độ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Xác định xem thân kim đo có bị dính bụi bẩn hay dầu mỡ hay không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định đầu kim đo có bị mẻ hay không bằng máy phóng ảnh hoặc kính hiển vi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Xác định xem kim đo có bị uốn cong quá 45 độ hay không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Xác định độ dài tự do của kim đo có vượt quá 5mm hay không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