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545-2c: Liên quan tài liệu: Tài liệu tiêu chuẩn hiệu chỉnh và kiểm tra dụng cụ trắc định - VÍT NGẪU LỰC DẠNG PRESET</w:t>
      </w:r>
    </w:p>
    <w:p>
      <w:r>
        <w:rPr>
          <w:rFonts w:ascii="Arial" w:hAnsi="Arial" w:eastAsia="Arial"/>
          <w:b w:val="0"/>
          <w:sz w:val="18"/>
        </w:rPr>
        <w:t>Đối tượng test: Đội LK, TP, ĐGSP, HC, GCCK</w:t>
      </w:r>
    </w:p>
    <w:p>
      <w:r>
        <w:rPr>
          <w:rFonts w:ascii="Arial" w:hAnsi="Arial" w:eastAsia="Arial"/>
          <w:b w:val="0"/>
          <w:sz w:val="20"/>
        </w:rPr>
        <w:t>Câu 001: Theo tài liệu, tiến độ điểm kiểm tra ngoại quan đối với 'Vít ngẫu lực dạng preset'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002: ◎ Theo mục Ghi chú về điểm kiểm tra, trong trường hợp kết quả kiểm tra không thấy bất thường nhưng không ghi chép kết quả ngay lúc đó thì cần tuân thủ quy định nào sau đây?</w:t>
      </w:r>
    </w:p>
    <w:p>
      <w:pPr>
        <w:ind w:left="454"/>
      </w:pPr>
      <w:r>
        <w:rPr>
          <w:rFonts w:ascii="Arial" w:hAnsi="Arial" w:eastAsia="Arial"/>
          <w:b w:val="0"/>
          <w:sz w:val="20"/>
        </w:rPr>
        <w:t>A. Không cần ghi chép lại dưới bất kỳ hình thức nào trong suốt vòng đời thiết bị.</w:t>
      </w:r>
    </w:p>
    <w:p>
      <w:pPr>
        <w:ind w:left="454"/>
      </w:pPr>
      <w:r>
        <w:rPr>
          <w:rFonts w:ascii="Arial" w:hAnsi="Arial" w:eastAsia="Arial"/>
          <w:b w:val="0"/>
          <w:sz w:val="20"/>
        </w:rPr>
        <w:t>B. Mỗi năm phải ghi chép lại kết quả kiểm tra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lại khi có yêu cầu từ cấp trên hoặc khách hàng.</w:t>
      </w:r>
    </w:p>
    <w:p/>
    <w:p>
      <w:r>
        <w:rPr>
          <w:rFonts w:ascii="Arial" w:hAnsi="Arial" w:eastAsia="Arial"/>
          <w:b w:val="0"/>
          <w:sz w:val="20"/>
        </w:rPr>
        <w:t>Câu 003: Khi tiến hành hiệu chỉnh độ chính xác chỉ thị của vít ngẫu lực, dung sai cho phép của trị biểu thị ngẫu lực được quy định là bao nhiêu?</w:t>
      </w:r>
    </w:p>
    <w:p>
      <w:pPr>
        <w:ind w:left="454"/>
      </w:pPr>
      <w:r>
        <w:rPr>
          <w:rFonts w:ascii="Arial" w:hAnsi="Arial" w:eastAsia="Arial"/>
          <w:b w:val="0"/>
          <w:sz w:val="20"/>
        </w:rPr>
        <w:t>A. ±1%</w:t>
      </w:r>
    </w:p>
    <w:p>
      <w:pPr>
        <w:ind w:left="454"/>
      </w:pPr>
      <w:r>
        <w:rPr>
          <w:rFonts w:ascii="Arial" w:hAnsi="Arial" w:eastAsia="Arial"/>
          <w:b w:val="0"/>
          <w:sz w:val="20"/>
        </w:rPr>
        <w:t>B. ±2%</w:t>
      </w:r>
    </w:p>
    <w:p>
      <w:pPr>
        <w:ind w:left="454"/>
      </w:pPr>
      <w:r>
        <w:rPr>
          <w:rFonts w:ascii="Arial" w:hAnsi="Arial" w:eastAsia="Arial"/>
          <w:b w:val="0"/>
          <w:sz w:val="20"/>
        </w:rPr>
        <w:t>C. ±5%</w:t>
      </w:r>
    </w:p>
    <w:p>
      <w:pPr>
        <w:ind w:left="454"/>
      </w:pPr>
      <w:r>
        <w:rPr>
          <w:rFonts w:ascii="Arial" w:hAnsi="Arial" w:eastAsia="Arial"/>
          <w:b w:val="0"/>
          <w:sz w:val="20"/>
        </w:rPr>
        <w:t>D. ±10%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