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558-1 l: Liên quan tài liệu: Bản tiêu chuẩn hiệu chỉnh-điểm kiểm Geji chuyên dùng đặc biệt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chu kỳ hiệu chỉnh đối với geji chuyên dùng đặc biệt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hoặc khi được cho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hoặc khi được cho là cần thiết (nếu cần thiết có thể được chứng nhận trong vòng 24 tháng)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hoặc định kỳ hàng năm</w:t>
      </w:r>
    </w:p>
    <w:p/>
    <w:p>
      <w:r>
        <w:rPr>
          <w:rFonts w:ascii="Arial" w:hAnsi="Arial" w:eastAsia="Arial"/>
          <w:b w:val="0"/>
          <w:sz w:val="20"/>
        </w:rPr>
        <w:t>Câu 002: Khi tiến hành kiểm tra ngoại quan cho geji chuyên dùng đặc biệt theo mục II 【Điểm kiểm】, tiến độ điểm kiểm được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khi phát hiện sai hỏng</w:t>
      </w:r>
    </w:p>
    <w:p/>
    <w:p>
      <w:r>
        <w:rPr>
          <w:rFonts w:ascii="Arial" w:hAnsi="Arial" w:eastAsia="Arial"/>
          <w:b/>
          <w:sz w:val="20"/>
        </w:rPr>
        <w:t>Câu 003: ◎ Theo mục chú ý về xác nhận độ mòn trên cạnh sắc (Hình 15), phương pháp kiểm tra nào được yêu cầu và khi nào cần tiến hành thay thế?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bằng mắt thường; nếu mòn nhẹ thì mài lại bằng đá mài dầu Arkansas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nhận bằng kính hiển vi có độ phóng đại khoảng 20 lần; trường hợp bị mài mòn nghiêm trọng thì tiến hành thay thế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Đo trực tiếp bằng Micrometer; nếu lệch quá dung sai bản vẽ 10μm thì thay thế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Sử dụng đồng hồ so kiểu đòn bẩy đo độ đảo; nếu vượt quá 0.002mm thì thay thế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