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560-1 d: Liên quan tài liệu: GEJI THỬ LỖ ỐC VÍT Ren vít – ren vít, ren vít – ống tròn</w:t>
      </w:r>
    </w:p>
    <w:p>
      <w:r>
        <w:rPr>
          <w:rFonts w:ascii="Arial" w:hAnsi="Arial" w:eastAsia="Arial"/>
          <w:b w:val="0"/>
          <w:sz w:val="18"/>
        </w:rPr>
        <w:t>Đối tượng test: Đội LK, TP, ĐGSP, HC, GCCK</w:t>
      </w:r>
    </w:p>
    <w:p>
      <w:r>
        <w:rPr>
          <w:rFonts w:ascii="Arial" w:hAnsi="Arial" w:eastAsia="Arial"/>
          <w:b w:val="0"/>
          <w:sz w:val="20"/>
        </w:rPr>
        <w:t>Câu 001: Khi tiến hành đo đường kính hữu hiệu bằng phương pháp đo 3 kim, công thức tính đường kính hữu hiệu E nào sau đây là chính xác theo tài liệu?</w:t>
      </w:r>
    </w:p>
    <w:p>
      <w:pPr>
        <w:ind w:left="454"/>
      </w:pPr>
      <w:r>
        <w:rPr>
          <w:rFonts w:ascii="Arial" w:hAnsi="Arial" w:eastAsia="Arial"/>
          <w:b w:val="0"/>
          <w:sz w:val="20"/>
        </w:rPr>
        <w:t>A. E = M – 2dm + 0.866025P</w:t>
      </w:r>
    </w:p>
    <w:p>
      <w:pPr>
        <w:ind w:left="454"/>
      </w:pPr>
      <w:r>
        <w:rPr>
          <w:rFonts w:ascii="Arial" w:hAnsi="Arial" w:eastAsia="Arial"/>
          <w:b w:val="0"/>
          <w:sz w:val="20"/>
        </w:rPr>
        <w:t>B. E = M – 3dm + 0.500000P</w:t>
      </w:r>
    </w:p>
    <w:p>
      <w:pPr>
        <w:ind w:left="454"/>
      </w:pPr>
      <w:r>
        <w:rPr>
          <w:rFonts w:ascii="Arial" w:hAnsi="Arial" w:eastAsia="Arial"/>
          <w:b w:val="0"/>
          <w:sz w:val="20"/>
        </w:rPr>
        <w:t>C. E = M – 3dm + 0.866025P</w:t>
      </w:r>
    </w:p>
    <w:p>
      <w:pPr>
        <w:ind w:left="454"/>
      </w:pPr>
      <w:r>
        <w:rPr>
          <w:rFonts w:ascii="Arial" w:hAnsi="Arial" w:eastAsia="Arial"/>
          <w:b w:val="0"/>
          <w:sz w:val="20"/>
        </w:rPr>
        <w:t>D. E = M – 2dm + 0.500000P</w:t>
      </w:r>
    </w:p>
    <w:p/>
    <w:p>
      <w:r>
        <w:rPr>
          <w:rFonts w:ascii="Arial" w:hAnsi="Arial" w:eastAsia="Arial"/>
          <w:b/>
          <w:sz w:val="20"/>
        </w:rPr>
        <w:t>Câu 002: ◎ Trường hợp nếu có bất thường trong quá trình kiểm tra hoặc khi sử dụng dụng cụ đo, nhân viên cần thực hiện thao tác xử lý nào sau đây?</w:t>
      </w:r>
    </w:p>
    <w:p>
      <w:pPr>
        <w:ind w:left="454"/>
      </w:pPr>
      <w:r>
        <w:rPr>
          <w:rFonts w:ascii="Arial" w:hAnsi="Arial" w:eastAsia="Arial"/>
          <w:b w:val="0"/>
          <w:sz w:val="20"/>
        </w:rPr>
        <w:t>A. Tự ý dùng dũa hoặc giấy nhám để mài lại phần ren bị hỏng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Vứt bỏ dụng cụ vào thùng rác phế liệu ngay lập tức mà không cần báo cáo</w:t>
      </w:r>
    </w:p>
    <w:p/>
    <w:p>
      <w:r>
        <w:rPr>
          <w:rFonts w:ascii="Arial" w:hAnsi="Arial" w:eastAsia="Arial"/>
          <w:b w:val="0"/>
          <w:sz w:val="20"/>
        </w:rPr>
        <w:t>Câu 003: Theo tiêu chuẩn, tiến độ điểm kiểm (kiểm tra ngoại quan) đối với dụng cụ 'Geji thử lỗ ốc vít' được quy định như thế nào?</w:t>
      </w:r>
    </w:p>
    <w:p>
      <w:pPr>
        <w:ind w:left="454"/>
      </w:pPr>
      <w:r>
        <w:rPr>
          <w:rFonts w:ascii="Arial" w:hAnsi="Arial" w:eastAsia="Arial"/>
          <w:b w:val="0"/>
          <w:sz w:val="20"/>
        </w:rPr>
        <w:t>A. Mỗi tuần 1 lần và khi có yêu cầu đặc biệt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đưa vào sử dụng lần đầu</w:t>
      </w:r>
    </w:p>
    <w:p>
      <w:pPr>
        <w:ind w:left="454"/>
      </w:pPr>
      <w:r>
        <w:rPr>
          <w:rFonts w:ascii="Arial" w:hAnsi="Arial" w:eastAsia="Arial"/>
          <w:b w:val="0"/>
          <w:sz w:val="20"/>
        </w:rPr>
        <w:t>D. Mỗi ca làm việc 2 lần vào đầu ca và cuối ca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