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4-500 Ban V IT HOA ===</w:t>
      </w:r>
    </w:p>
    <w:p>
      <w:r>
        <w:rPr>
          <w:rFonts w:ascii="Arial" w:hAnsi="Arial" w:eastAsia="Arial"/>
          <w:b/>
          <w:sz w:val="18"/>
        </w:rPr>
        <w:t>Phần 563-1 f: Liên quan tài liệu: THIẾT BỊ μm ĐO BỀ DÀY BÁNH RĂNG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/>
          <w:sz w:val="20"/>
        </w:rPr>
        <w:t>Câu 001: ◎ Theo phần Ghi chú điểm kiểm, trong trường hợp kết quả kiểm tra không thấy bất thường thì quy định ghi chép kết quả ra sao?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Không cần ghi chép lại kết quả dưới mọi hình thức trong suốt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Phải ghi chép lại đầy đủ kết quả kiểm tra vào mỗi ngày làm việc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Không ghi chép kết quả cũng được, nhưng mỗi tháng phải ghi chép lại kết quả đã kiểm tra một lần dù không có gì bất thường xảy ra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Bắt buộc phải lập báo cáo sự cố gửi lên cấp trên ngay lập tức</w:t>
      </w:r>
    </w:p>
    <w:p/>
    <w:p>
      <w:r>
        <w:rPr>
          <w:rFonts w:ascii="Arial" w:hAnsi="Arial" w:eastAsia="Arial"/>
          <w:b w:val="0"/>
          <w:sz w:val="20"/>
        </w:rPr>
        <w:t>Câu 002: Khi tiến hành điểm kiểm hoặc hiệu chỉnh, lực đo được thực hiện bằng cách xoay núm điều chỉnh cho đến khi phát ra âm thanh tách tách mấy lần?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1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2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3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5 lần</w:t>
      </w:r>
    </w:p>
    <w:p/>
    <w:p>
      <w:r>
        <w:rPr>
          <w:rFonts w:ascii="Arial" w:hAnsi="Arial" w:eastAsia="Arial"/>
          <w:b w:val="0"/>
          <w:sz w:val="20"/>
        </w:rPr>
        <w:t>Câu 003: Theo tài liệu, tiến độ thực hiện điểm kiểm đối với thiết bị đo bề dày bánh răng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khi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Khi xác nhận thấy cần thiết (không quá 12 tháng)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