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573-1: Liên quan tài liệu: THƯỚC KIM LOẠI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đối tượng áp dụng của thước kim loại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Tất cả các loại dụng cụ đo trong nhà xưởng sản xuất motor.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Những thước kim loại được sử dụng với mục đích kiểm tra hàng liên quan đến linh kiện, thành phẩm của motor.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dùng để kiểm tra các chi tiết cơ khí chính xác cao không liên quan đến motor.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Dùng cho mọi công cụ đo kiểm ngoại hình tại bộ phận bảo hành phẩm chất.</w:t>
      </w:r>
    </w:p>
    <w:p/>
    <w:p>
      <w:r>
        <w:rPr>
          <w:rFonts w:ascii="Arial" w:hAnsi="Arial" w:eastAsia="Arial"/>
          <w:b w:val="0"/>
          <w:sz w:val="20"/>
        </w:rPr>
        <w:t>Câu 002: Khi tiến hành kiểm tra ngoại quan đối với thước kim loại (trang 2), nội dung nào sau đây là yêu cầu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xem thước đo có bị hao mòn, khiếm khuyết, biến hình (cong, méo, ba vớ) không và có thể đọc được các vạch đo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kiểm tra xem thước có bị bám bụi bẩn bề mặt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độ chính xác tuyệt đối bằng máy đo quang học chuyên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Đo lại chiều dài tổng thể của thước so với bản vẽ gốc.</w:t>
      </w:r>
    </w:p>
    <w:p/>
    <w:p>
      <w:r>
        <w:rPr>
          <w:rFonts w:ascii="Arial" w:hAnsi="Arial" w:eastAsia="Arial"/>
          <w:b/>
          <w:sz w:val="20"/>
        </w:rPr>
        <w:t>Câu 003: ◎ Theo quy định về xử lý bất thường khi kiểm tra thước kim loại (Ghi chú 1 và 2), trường hợp kiểm tra không thấy bất thường thì cần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kết quả kiểm tra đầy đủ vào mọi thời điểm.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nhưng mỗi tháng phải ghi chép lại kết quả đã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ghi chép bất kỳ kết quả nào vào sổ sách.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báo cáo ngay cho cấp trên bằng văn bản đặc biệt.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