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578-2b: Liên quan tài liệu: Bản tiêu chuẩn hiệu chỉnh và kiểm tra dụng cụ trắc định CÂN ĐIỆN TỬ (SINKODENSI Model CG series)</w:t>
      </w:r>
    </w:p>
    <w:p>
      <w:r>
        <w:rPr>
          <w:rFonts w:ascii="Arial" w:hAnsi="Arial" w:eastAsia="Arial"/>
          <w:b w:val="0"/>
          <w:sz w:val="18"/>
        </w:rPr>
        <w:t>Đối tượng test: Đội LK, TP, ĐGSP, HC, GCCK</w:t>
      </w:r>
    </w:p>
    <w:p>
      <w:r>
        <w:rPr>
          <w:rFonts w:ascii="Arial" w:hAnsi="Arial" w:eastAsia="Arial"/>
          <w:b w:val="0"/>
          <w:sz w:val="20"/>
        </w:rPr>
        <w:t>Câu 001: Theo tiêu chuẩn, tiến độ điểm kiểm tra đối với cân điện tử SINKODENSI Model CG series được thực hiện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3 tháng</w:t>
      </w:r>
    </w:p>
    <w:p/>
    <w:p>
      <w:r>
        <w:rPr>
          <w:rFonts w:ascii="Arial" w:hAnsi="Arial" w:eastAsia="Arial"/>
          <w:b/>
          <w:sz w:val="20"/>
        </w:rPr>
        <w:t>Câu 002: ◎ Theo quy định về chú ý đối với kết quả kiểm tra và xử lý bất thường, tần suất bắt buộc phải ghi lại kết quả đã điểm kiểm (dù không có gì bất thường xảy ra) là gì?</w:t>
      </w:r>
    </w:p>
    <w:p>
      <w:pPr>
        <w:ind w:left="454"/>
      </w:pPr>
      <w:r>
        <w:rPr>
          <w:rFonts w:ascii="Arial" w:hAnsi="Arial" w:eastAsia="Arial"/>
          <w:b w:val="0"/>
          <w:sz w:val="20"/>
        </w:rPr>
        <w:t>A. Mỗi ngày một lần</w:t>
      </w:r>
    </w:p>
    <w:p>
      <w:pPr>
        <w:ind w:left="454"/>
      </w:pPr>
      <w:r>
        <w:rPr>
          <w:rFonts w:ascii="Arial" w:hAnsi="Arial" w:eastAsia="Arial"/>
          <w:b w:val="0"/>
          <w:sz w:val="20"/>
        </w:rPr>
        <w:t>B. Mỗi tuần một lần</w:t>
      </w:r>
    </w:p>
    <w:p>
      <w:pPr>
        <w:ind w:left="454"/>
      </w:pPr>
      <w:r>
        <w:rPr>
          <w:rFonts w:ascii="Arial" w:hAnsi="Arial" w:eastAsia="Arial"/>
          <w:b w:val="0"/>
          <w:sz w:val="20"/>
        </w:rPr>
        <w:t>C. Mỗi tháng một lần</w:t>
      </w:r>
    </w:p>
    <w:p>
      <w:pPr>
        <w:ind w:left="454"/>
      </w:pPr>
      <w:r>
        <w:rPr>
          <w:rFonts w:ascii="Arial" w:hAnsi="Arial" w:eastAsia="Arial"/>
          <w:b w:val="0"/>
          <w:sz w:val="20"/>
        </w:rPr>
        <w:t>D. Mỗi 3 tháng một lần</w:t>
      </w:r>
    </w:p>
    <w:p/>
    <w:p>
      <w:r>
        <w:rPr>
          <w:rFonts w:ascii="Arial" w:hAnsi="Arial" w:eastAsia="Arial"/>
          <w:b w:val="0"/>
          <w:sz w:val="20"/>
        </w:rPr>
        <w:t>Câu 003: Khi mở nguồn điện cân điện tử để tiến hành kiểm tra hoặc hiệu chỉnh, cần phải làm nóng máy trong thời gian bao lâu?</w:t>
      </w:r>
    </w:p>
    <w:p>
      <w:pPr>
        <w:ind w:left="454"/>
      </w:pPr>
      <w:r>
        <w:rPr>
          <w:rFonts w:ascii="Arial" w:hAnsi="Arial" w:eastAsia="Arial"/>
          <w:b w:val="0"/>
          <w:sz w:val="20"/>
        </w:rPr>
        <w:t>A. Từ 10 phút trở lên</w:t>
      </w:r>
    </w:p>
    <w:p>
      <w:pPr>
        <w:ind w:left="454"/>
      </w:pPr>
      <w:r>
        <w:rPr>
          <w:rFonts w:ascii="Arial" w:hAnsi="Arial" w:eastAsia="Arial"/>
          <w:b w:val="0"/>
          <w:sz w:val="20"/>
        </w:rPr>
        <w:t>B. Từ 15 phút trở lên</w:t>
      </w:r>
    </w:p>
    <w:p>
      <w:pPr>
        <w:ind w:left="454"/>
      </w:pPr>
      <w:r>
        <w:rPr>
          <w:rFonts w:ascii="Arial" w:hAnsi="Arial" w:eastAsia="Arial"/>
          <w:b w:val="0"/>
          <w:sz w:val="20"/>
        </w:rPr>
        <w:t>C. Từ 30 phút trở lên</w:t>
      </w:r>
    </w:p>
    <w:p>
      <w:pPr>
        <w:ind w:left="454"/>
      </w:pPr>
      <w:r>
        <w:rPr>
          <w:rFonts w:ascii="Arial" w:hAnsi="Arial" w:eastAsia="Arial"/>
          <w:b w:val="0"/>
          <w:sz w:val="20"/>
        </w:rPr>
        <w:t>D. Từ 60 phút trở lên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