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608 – 1 d: Liên quan tài liệu: ĐỒNG HỒ ĐO VI LƯỢNG DẠNG CHỈ THỊ (Mitsutoyo)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Phương pháp phán định đối với mục 'Kiểm tra trục chính và nút nhấn' (Mục 3 phần Kiểm tra)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0.4μm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Từ 2 vạch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Từ 5 vạch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3μm</w:t>
      </w:r>
    </w:p>
    <w:p/>
    <w:p>
      <w:r>
        <w:rPr>
          <w:rFonts w:ascii="Arial" w:hAnsi="Arial" w:eastAsia="Arial"/>
          <w:b/>
          <w:sz w:val="20"/>
        </w:rPr>
        <w:t>Câu 002: ◎ Theo mục chú ý về xử lý kết quả kiểm tra, nếu kết quả kiểm tra KHÔNG có bất thường thì quy định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lại kết quả kiểm tra vào biên bản sau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lại kết quả kiểm tra, và tuyệt đối không được ghi lại trong suốt quá trình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không ghi lại kết quả kiểm tra. Tuy nhiên, 1 tháng 1 lần dù không có bất thường cũng ghi lại kết quả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lại kết quả khi có yêu cầu từ cấp trên hoặc khách hàng.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kiểm tra (tần suất kiểm tra) đối với đồng hồ đo vi lượng dạng chỉ thị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ca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