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5-600 Ban V IT HOA ===</w:t>
      </w:r>
    </w:p>
    <w:p>
      <w:r>
        <w:rPr>
          <w:rFonts w:ascii="Arial" w:hAnsi="Arial" w:eastAsia="Arial"/>
          <w:b/>
          <w:sz w:val="18"/>
        </w:rPr>
        <w:t>Phần 611 – 1 b: Liên quan tài liệu: Bảng tiêu chuẩn hiệu chỉnh và điểm kiểm máy đo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tiêu chuẩn, chu kỳ hiệu chỉnh đối với máy đo 3 chiều (Mitutoyo, Carl Zeiss...)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6 tháng hoặc khi được cho là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12 tháng hoặc khi định kỳ hàng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24 tháng hoặc khi được cho là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36 tháng hoặc theo yêu cầu sản xuất</w:t>
      </w:r>
    </w:p>
    <w:p/>
    <w:p>
      <w:r>
        <w:rPr>
          <w:rFonts w:ascii="Arial" w:hAnsi="Arial" w:eastAsia="Arial"/>
          <w:b w:val="0"/>
          <w:sz w:val="20"/>
        </w:rPr>
        <w:t>Câu 002: Khi kiểm tra ngoại quan bề mặt bàn của máy đo 3 chiều, tiêu chuẩn phán định nào là chính xác?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Cho phép có vết xước nhỏ nếu không ảnh hưởng lớn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có gì bất thường (không có khuyết tật gây hại như bụi bẩn, vết xước)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Bề mặt bàn có thể dính dầu mỡ nhẹ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Không cần kiểm tra ngoại quan nếu máy vẫn khởi động bình thường</w:t>
      </w:r>
    </w:p>
    <w:p/>
    <w:p>
      <w:r>
        <w:rPr>
          <w:rFonts w:ascii="Arial" w:hAnsi="Arial" w:eastAsia="Arial"/>
          <w:b/>
          <w:sz w:val="20"/>
        </w:rPr>
        <w:t>Câu 003: ◎ Theo mục chú ý tại phần điểm kiểm máy đo 3 chiều, khi phát hiện có dị thường trong quá trình điểm kiểm (hoặc khi sử dụng), nhân viên phải làm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tháo máy ra kiểm tra và sửa chữa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Tiếp tục sử dụng máy cho đến hết ca làm việc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Kí lục lại kết quả đó, và xử lí theo chỉ thị của người chịu trách nhiệm của phòng ban sở hữu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Báo cáo trực tiếp lên giám đốc nhà máy mà không cần ghi chép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