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628-1b: Liên quan tài liệu: Bảng tiêu chuẩn hiệu chỉnh và kiểm tra dụng cụ trắc định DỤNG CỤ THÍ NGHIỆM CƯỜNG ĐỘ BÁM DÍNH PHỦ SƠN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kiểm tra cho mục 1 và mục 2 của dụng cụ trắc định cường độ bám dính phủ sơn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Mục 1: mỗi tuần 1 lần, mục 2: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Mục 1: mỗi tháng 1 lần, mục 2: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Mục 1: mỗi 6 tháng 1 lần, mục 2: mỗi năm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Mục 1: mỗi lần sử dụng, mục 2: mỗi năm 1 lần</w:t>
      </w:r>
    </w:p>
    <w:p/>
    <w:p>
      <w:r>
        <w:rPr>
          <w:rFonts w:ascii="Arial" w:hAnsi="Arial" w:eastAsia="Arial"/>
          <w:b/>
          <w:sz w:val="20"/>
        </w:rPr>
        <w:t>Câu 002: ◎ Theo mục Chú ý về kết quả kiểm tra trường hợp không thấy bất thường, quy định nào sau đây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cứ trường hợp nào kể cả khi có yêu cầu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cũng được, nhưng mỗi tháng một lần phải ghi lại kết quả đã kiểm tra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ghi chép lại kết quả kiểm tra vào mỗi lần sử dụng bắt buộc.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báo cáo miệng cho người quản lý mà không cần lưu lại hồ sơ.</w:t>
      </w:r>
    </w:p>
    <w:p/>
    <w:p>
      <w:r>
        <w:rPr>
          <w:rFonts w:ascii="Arial" w:hAnsi="Arial" w:eastAsia="Arial"/>
          <w:b w:val="0"/>
          <w:sz w:val="20"/>
        </w:rPr>
        <w:t>Câu 003: Phương pháp định giá/phán định đối với trọng lượng của thanh tác động trong quá trình hiệu chỉnh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100g ± 2g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150g ± 5g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200g ± 5g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500g ± 10g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