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650-2: Liên quan tài liệu: Bản tiêu chuẩn hiệu chỉnh - điểm kiểm dụng cụ đo Máy đo độ sáng kỹ thuật số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tiêu chuẩn, tiến độ điểm kiểm (kiểm tra hàng ngày/định kỳ) đối với máy đo độ sáng kỹ thuật số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p>
      <w:r>
        <w:rPr>
          <w:rFonts w:ascii="Arial" w:hAnsi="Arial" w:eastAsia="Arial"/>
          <w:b/>
          <w:sz w:val="20"/>
        </w:rPr>
        <w:t>Câu 002: ◎ Theo mục chú ý điểm kiểm, trường hợp kết quả điểm kiểm không có bất thường thì xử lý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kết quả điểm kiểm hàng ngày vào sổ theo dõi.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kết quả điểm kiểm, tuy nhiên nếu trong 1 tháng mà không có bất thường nào xảy ra thì cần phải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Chỉ cần ghi chép lại khi có sự thay đổi ca trưởng hoặc quản lý.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Bắt buộc phải lập báo cáo sự cố gửi về phòng BHCL hàng tuần.</w:t>
      </w:r>
    </w:p>
    <w:p/>
    <w:p>
      <w:r>
        <w:rPr>
          <w:rFonts w:ascii="Arial" w:hAnsi="Arial" w:eastAsia="Arial"/>
          <w:b w:val="0"/>
          <w:sz w:val="20"/>
        </w:rPr>
        <w:t>Câu 003: Quy cách phán định về độ chính xác của máy đo độ sáng kỹ thuật số HIOKI 3423 theo tài liệu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±2% rdg. ±1 dgt. - Tương đương với loại 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±4% rdg. ±1 dgt. - Tương đương với loại AA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±5% rdg. ±2 dgt. - Tương đương với loại B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±1% rdg. ±1 dgt. - Tương đương với loại AA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