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6-900 Ban V IT HOA ===</w:t>
      </w:r>
    </w:p>
    <w:p>
      <w:r>
        <w:rPr>
          <w:rFonts w:ascii="Arial" w:hAnsi="Arial" w:eastAsia="Arial"/>
          <w:b/>
          <w:sz w:val="18"/>
        </w:rPr>
        <w:t>Phần 910-1 i: Liên quan tài liệu: Tài liệu tiêu chuẩn hiệu chỉnh và điểm kiểm dụng cụ đo đạc DỤNG CỤ ĐO GIA ÁP HÀN ĐIỂM LẦN 2 (SPC-)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Theo mục II 【Điểm kiểm】 của tài liệu, tiến độ thực hiện điểm kiểm cho dụng cụ đo gia áp hàn điểm loại SPC được quy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tuần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Mỗi tháng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Trước mỗi ca sản xuất</w:t>
      </w:r>
    </w:p>
    <w:p/>
    <w:p>
      <w:r>
        <w:rPr>
          <w:rFonts w:ascii="Arial" w:hAnsi="Arial" w:eastAsia="Arial"/>
          <w:b w:val="0"/>
          <w:sz w:val="20"/>
        </w:rPr>
        <w:t>Câu 002: Chu kì hiệu chỉnh chuẩn đối với dụng cụ đo gia áp hàn điểm loại SPC là bao lâu?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1 tháng và khi đã xác nhận là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6 tháng và khi đã xác nhận là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Mỗi 3 tháng và khi đã xác nhận là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Mỗi 12 tháng và khi đã xác nhận là cần thiết</w:t>
      </w:r>
    </w:p>
    <w:p/>
    <w:p>
      <w:r>
        <w:rPr>
          <w:rFonts w:ascii="Arial" w:hAnsi="Arial" w:eastAsia="Arial"/>
          <w:b/>
          <w:sz w:val="20"/>
        </w:rPr>
        <w:t>Câu 003: ◎ Theo ghi chú điểm kiểm, trường hợp kết quả kiểm tra không thấy bất thường thì quy định ghi chép kết quả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Không cần ghi chép kết quả, nhưng mỗi tháng phải ghi chép lại kết quả kiểm tra một lần dù không có gì bất thường xảy ra.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Phải ghi chép đầy đủ vào sổ nhật ký sau mỗi lần sử dụng dụng cụ đo.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Tuyệt đối không được ghi chép bất kỳ nội dung nào vào biểu mẫu kiểm tra.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Chỉ ghi chép khi có sự cố bất thường xảy ra trong quá trình đo đạc.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