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CE03-031M-AA/ CL06-003M-AA/CL11-001H-AA: Liên quan tài liệu: Bản tiêu chuẩn hiệu chỉnh và điểm kiểm dụng cụ đo Đồng hồ quản lý tải trọng thiết bị phụ trợ</w:t>
      </w:r>
    </w:p>
    <w:p>
      <w:r>
        <w:rPr>
          <w:rFonts w:ascii="Arial" w:hAnsi="Arial" w:eastAsia="Arial"/>
          <w:b w:val="0"/>
          <w:sz w:val="18"/>
        </w:rPr>
        <w:t>Đối tượng test: Đội LK, TP, ĐGSP, HC, GCCK</w:t>
      </w:r>
    </w:p>
    <w:p>
      <w:r>
        <w:rPr>
          <w:rFonts w:ascii="Arial" w:hAnsi="Arial" w:eastAsia="Arial"/>
          <w:b w:val="0"/>
          <w:sz w:val="20"/>
        </w:rPr>
        <w:t>Câu 001: Theo tiêu chuẩn kiểm tra dụng cụ đo, tiến độ điểm kiểm (tần suất kiểm tra ngoại quan và lượng pin khô) đối với đồng hồ quản lý tải trọng thiết bị phụ trợ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24 tháng</w:t>
      </w:r>
    </w:p>
    <w:p/>
    <w:p>
      <w:r>
        <w:rPr>
          <w:rFonts w:ascii="Arial" w:hAnsi="Arial" w:eastAsia="Arial"/>
          <w:b w:val="0"/>
          <w:sz w:val="20"/>
        </w:rPr>
        <w:t>Câu 002: Đối với mã số thiết bị CL11-001H-AA, hạng mục tính lặp lại (độ chính xác đối với dung lượng định mức) được quy định là bao nhiêu?</w:t>
      </w:r>
    </w:p>
    <w:p>
      <w:pPr>
        <w:ind w:left="454"/>
      </w:pPr>
      <w:r>
        <w:rPr>
          <w:rFonts w:ascii="Arial" w:hAnsi="Arial" w:eastAsia="Arial"/>
          <w:b w:val="0"/>
          <w:sz w:val="20"/>
        </w:rPr>
        <w:t>A. 0.1%</w:t>
      </w:r>
    </w:p>
    <w:p>
      <w:pPr>
        <w:ind w:left="454"/>
      </w:pPr>
      <w:r>
        <w:rPr>
          <w:rFonts w:ascii="Arial" w:hAnsi="Arial" w:eastAsia="Arial"/>
          <w:b w:val="0"/>
          <w:sz w:val="20"/>
        </w:rPr>
        <w:t>B. 0.5%</w:t>
      </w:r>
    </w:p>
    <w:p>
      <w:pPr>
        <w:ind w:left="454"/>
      </w:pPr>
      <w:r>
        <w:rPr>
          <w:rFonts w:ascii="Arial" w:hAnsi="Arial" w:eastAsia="Arial"/>
          <w:b w:val="0"/>
          <w:sz w:val="20"/>
        </w:rPr>
        <w:t>C. 0.2%</w:t>
      </w:r>
    </w:p>
    <w:p>
      <w:pPr>
        <w:ind w:left="454"/>
      </w:pPr>
      <w:r>
        <w:rPr>
          <w:rFonts w:ascii="Arial" w:hAnsi="Arial" w:eastAsia="Arial"/>
          <w:b w:val="0"/>
          <w:sz w:val="20"/>
        </w:rPr>
        <w:t>D. 1.0%</w:t>
      </w:r>
    </w:p>
    <w:p/>
    <w:p>
      <w:r>
        <w:rPr>
          <w:rFonts w:ascii="Arial" w:hAnsi="Arial" w:eastAsia="Arial"/>
          <w:b/>
          <w:sz w:val="20"/>
        </w:rPr>
        <w:t>Câu 003: ◎ Theo phần ghi chú điểm kiểm dụng cụ đo (Trang 6), khi trường hợp kết quả kiểm tra không thấy bất thường nhưng quy định về việc ghi chép được thực hiện ra sao?</w:t>
      </w:r>
    </w:p>
    <w:p>
      <w:pPr>
        <w:ind w:left="454"/>
      </w:pPr>
      <w:r>
        <w:rPr>
          <w:rFonts w:ascii="Arial" w:hAnsi="Arial" w:eastAsia="Arial"/>
          <w:b w:val="0"/>
          <w:sz w:val="20"/>
        </w:rPr>
        <w:t>A. Tuyệt đối không được ghi chép lại trong mọi trường hợp nếu không có bất thường.</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Phải ghi chép lại chi tiết từng giờ làm việc trong ngày vào sổ quản lý.</w:t>
      </w:r>
    </w:p>
    <w:p>
      <w:pPr>
        <w:ind w:left="454"/>
      </w:pPr>
      <w:r>
        <w:rPr>
          <w:rFonts w:ascii="Arial" w:hAnsi="Arial" w:eastAsia="Arial"/>
          <w:b w:val="0"/>
          <w:sz w:val="20"/>
        </w:rPr>
        <w:t>D. Chỉ cần báo cáo miệng cho người quản lý mà không cần ghi vào sổ.</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