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S01-1 g: Liên quan tài liệu: THIẾT BỊ HIỆU CHỈNH DÒNG ĐIỆN MỘT CHIỀU</w:t>
      </w:r>
    </w:p>
    <w:p>
      <w:r>
        <w:rPr>
          <w:rFonts w:ascii="Arial" w:hAnsi="Arial" w:eastAsia="Arial"/>
          <w:b w:val="0"/>
          <w:sz w:val="18"/>
        </w:rPr>
        <w:t>Đối tượng test: Đội LK, TP, ĐGSP, HC, GCCK</w:t>
      </w:r>
    </w:p>
    <w:p>
      <w:r>
        <w:rPr>
          <w:rFonts w:ascii="Arial" w:hAnsi="Arial" w:eastAsia="Arial"/>
          <w:b w:val="0"/>
          <w:sz w:val="20"/>
        </w:rPr>
        <w:t>Câu 001: Theo tài liệu tiêu chuẩn S01-1 g, chu kỳ hiệu chỉnh và điều kiện môi trường tiêu chuẩn để vận hành thiết bị hiệu chỉnh dòng điện một chiều là gì?</w:t>
      </w:r>
    </w:p>
    <w:p>
      <w:pPr>
        <w:ind w:left="454"/>
      </w:pPr>
      <w:r>
        <w:rPr>
          <w:rFonts w:ascii="Arial" w:hAnsi="Arial" w:eastAsia="Arial"/>
          <w:b w:val="0"/>
          <w:sz w:val="20"/>
        </w:rPr>
        <w:t>A. Chu kỳ 6 tháng; Nhiệt độ 20±2°C; Độ ẩm 40~60%</w:t>
      </w:r>
    </w:p>
    <w:p>
      <w:pPr>
        <w:ind w:left="454"/>
      </w:pPr>
      <w:r>
        <w:rPr>
          <w:rFonts w:ascii="Arial" w:hAnsi="Arial" w:eastAsia="Arial"/>
          <w:b w:val="0"/>
          <w:sz w:val="20"/>
        </w:rPr>
        <w:t>B. Chu kỳ 1 năm; Nhiệt độ 23±3°C; Độ ẩm 45~75%</w:t>
      </w:r>
    </w:p>
    <w:p>
      <w:pPr>
        <w:ind w:left="454"/>
      </w:pPr>
      <w:r>
        <w:rPr>
          <w:rFonts w:ascii="Arial" w:hAnsi="Arial" w:eastAsia="Arial"/>
          <w:b w:val="0"/>
          <w:sz w:val="20"/>
        </w:rPr>
        <w:t>C. Chu kỳ 1 năm; Nhiệt độ 25±5°C; Độ ẩm 50~80%</w:t>
      </w:r>
    </w:p>
    <w:p>
      <w:pPr>
        <w:ind w:left="454"/>
      </w:pPr>
      <w:r>
        <w:rPr>
          <w:rFonts w:ascii="Arial" w:hAnsi="Arial" w:eastAsia="Arial"/>
          <w:b w:val="0"/>
          <w:sz w:val="20"/>
        </w:rPr>
        <w:t>D. Chu kỳ 2 năm; Nhiệt độ 23±3°C; Độ ẩm 45~75%</w:t>
      </w:r>
    </w:p>
    <w:p/>
    <w:p>
      <w:r>
        <w:rPr>
          <w:rFonts w:ascii="Arial" w:hAnsi="Arial" w:eastAsia="Arial"/>
          <w:b/>
          <w:sz w:val="20"/>
        </w:rPr>
        <w:t>Câu 002: ◎ Đối với thiết bị YOKOGAWA 2550, tại hạng mục 'Điện áp xuất ra' với giới hạn 1000V, độ chính xác (trị số ở hướng lớn) được quy định như thế nào?</w:t>
      </w:r>
    </w:p>
    <w:p>
      <w:pPr>
        <w:ind w:left="454"/>
      </w:pPr>
      <w:r>
        <w:rPr>
          <w:rFonts w:ascii="Arial" w:hAnsi="Arial" w:eastAsia="Arial"/>
          <w:b w:val="0"/>
          <w:sz w:val="20"/>
        </w:rPr>
        <w:t>A. ± (0.005% của trị thiết định) hoặc ±500μV</w:t>
      </w:r>
    </w:p>
    <w:p>
      <w:pPr>
        <w:ind w:left="454"/>
      </w:pPr>
      <w:r>
        <w:rPr>
          <w:rFonts w:ascii="Arial" w:hAnsi="Arial" w:eastAsia="Arial"/>
          <w:b w:val="0"/>
          <w:sz w:val="20"/>
        </w:rPr>
        <w:t>B. ± (0.01% của trị thiết định) hoặc ±5mV</w:t>
      </w:r>
    </w:p>
    <w:p>
      <w:pPr>
        <w:ind w:left="454"/>
      </w:pPr>
      <w:r>
        <w:rPr>
          <w:rFonts w:ascii="Arial" w:hAnsi="Arial" w:eastAsia="Arial"/>
          <w:b w:val="0"/>
          <w:sz w:val="20"/>
        </w:rPr>
        <w:t>C. ± (0.005% của trị thiết định) hoặc ±5mV</w:t>
      </w:r>
    </w:p>
    <w:p>
      <w:pPr>
        <w:ind w:left="454"/>
      </w:pPr>
      <w:r>
        <w:rPr>
          <w:rFonts w:ascii="Arial" w:hAnsi="Arial" w:eastAsia="Arial"/>
          <w:b w:val="0"/>
          <w:sz w:val="20"/>
        </w:rPr>
        <w:t>D. ± (0.05% của trị thiết định) hoặc ±10mV</w:t>
      </w:r>
    </w:p>
    <w:p/>
    <w:p>
      <w:r>
        <w:rPr>
          <w:rFonts w:ascii="Arial" w:hAnsi="Arial" w:eastAsia="Arial"/>
          <w:b w:val="0"/>
          <w:sz w:val="20"/>
        </w:rPr>
        <w:t>Câu 003: Theo danh sách các cơ quan thực thi hiệu chỉnh, tại cứ điểm VNM (Việt Nam), những đơn vị nào được xác nhận có thể thực hiện hiệu chỉnh truy nguyên theo tiêu chuẩn quốc gia?</w:t>
      </w:r>
    </w:p>
    <w:p>
      <w:pPr>
        <w:ind w:left="454"/>
      </w:pPr>
      <w:r>
        <w:rPr>
          <w:rFonts w:ascii="Arial" w:hAnsi="Arial" w:eastAsia="Arial"/>
          <w:b w:val="0"/>
          <w:sz w:val="20"/>
        </w:rPr>
        <w:t>A. Viện nghiên cứu kỹ thuật công nghiệp và Công ty SGS</w:t>
      </w:r>
    </w:p>
    <w:p>
      <w:pPr>
        <w:ind w:left="454"/>
      </w:pPr>
      <w:r>
        <w:rPr>
          <w:rFonts w:ascii="Arial" w:hAnsi="Arial" w:eastAsia="Arial"/>
          <w:b w:val="0"/>
          <w:sz w:val="20"/>
        </w:rPr>
        <w:t>B. Trung tâm đo đạc quốc gia Hoa Nam (SCM)</w:t>
      </w:r>
    </w:p>
    <w:p>
      <w:pPr>
        <w:ind w:left="454"/>
      </w:pPr>
      <w:r>
        <w:rPr>
          <w:rFonts w:ascii="Arial" w:hAnsi="Arial" w:eastAsia="Arial"/>
          <w:b w:val="0"/>
          <w:sz w:val="20"/>
        </w:rPr>
        <w:t>C. Nhật Bản (nhà chế tạo hiệu chỉnh) và Nhà cung cấp hiệu chỉnh</w:t>
      </w:r>
    </w:p>
    <w:p>
      <w:pPr>
        <w:ind w:left="454"/>
      </w:pPr>
      <w:r>
        <w:rPr>
          <w:rFonts w:ascii="Arial" w:hAnsi="Arial" w:eastAsia="Arial"/>
          <w:b w:val="0"/>
          <w:sz w:val="20"/>
        </w:rPr>
        <w:t>D. Công ty Yokogawa của Mỹ và Nhà cung cấp hiệu chỉnh</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