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S07 -1 f: Liên quan tài liệu: THƯỚC RẬP BLOCK (VẬT LIỆU : THÉP, ZIRCONIA CERAMICS)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Điều kiện về nhiệt độ tiêu chuẩn quy định dùng để hiệu chuẩn Thước rập Block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25±1℃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15±1℃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20±1℃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23±2℃</w:t>
      </w:r>
    </w:p>
    <w:p/>
    <w:p>
      <w:r>
        <w:rPr>
          <w:rFonts w:ascii="Arial" w:hAnsi="Arial" w:eastAsia="Arial"/>
          <w:b w:val="0"/>
          <w:sz w:val="20"/>
        </w:rPr>
        <w:t>Câu 002: Theo tiêu chuẩn dụng cụ S07-1 f, chu kì hiệu chuẩn đối với Thước rập Block (vật liệu: Thép, Zirconia Ceramics)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06 tháng</w:t>
      </w:r>
    </w:p>
    <w:p/>
    <w:p>
      <w:r>
        <w:rPr>
          <w:rFonts w:ascii="Arial" w:hAnsi="Arial" w:eastAsia="Arial"/>
          <w:b/>
          <w:sz w:val="20"/>
        </w:rPr>
        <w:t>Câu 003: ◎ Theo bảng độ chính xác của Thước rập Block, khi kích thước chuẩn vượt qua 10mm đến 25mm, dung sai kích thước cho phép (±) đối với Cấp K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0.12 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0.20 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0.30 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0.40 μm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