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S19-1 d: Liên quan tài liệu: Thước đo ngẫu lực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Điều kiện nhiệt độ xung quanh quy định khi tiến hành hiệu chỉnh thước đo ngẫu lực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15 ± 5 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20 ± 15 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25 ± 10 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23 ± 2 °C</w:t>
      </w:r>
    </w:p>
    <w:p/>
    <w:p>
      <w:r>
        <w:rPr>
          <w:rFonts w:ascii="Arial" w:hAnsi="Arial" w:eastAsia="Arial"/>
          <w:b w:val="0"/>
          <w:sz w:val="20"/>
        </w:rPr>
        <w:t>Câu 002: Theo tài liệu tiêu chuẩn, chu kỳ hiệu chỉnh đối với 'Thước đo ngẫu lực'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6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3 năm</w:t>
      </w:r>
    </w:p>
    <w:p/>
    <w:p>
      <w:r>
        <w:rPr>
          <w:rFonts w:ascii="Arial" w:hAnsi="Arial" w:eastAsia="Arial"/>
          <w:b/>
          <w:sz w:val="20"/>
        </w:rPr>
        <w:t>Câu 003: ◎ Trị số kiểm tra độ chính xác quy định đối với các loại Số khuôn (từ 45 ATG đến 15 BTG) và loại 2.2 - OT (Số chế tạo Tohnnichi)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 1 %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 2 %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 3 %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 5 %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