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S20-1 e: Liên quan tài liệu: Bản tiêu chuẩn hiệu chỉnh điểm kiểm Cờ lê ngẫu lực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S20-1 e, chu kỳ hiệu chỉnh đối với dụng cụ Cờ lê ngẫu lực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p>
      <w:r>
        <w:rPr>
          <w:rFonts w:ascii="Arial" w:hAnsi="Arial" w:eastAsia="Arial"/>
          <w:b/>
          <w:sz w:val="20"/>
        </w:rPr>
        <w:t>Câu 002: ◎ Nhiệt độ xung quanh tiêu chuẩn được quy định trong quá trình hiệu chỉnh cờ lê ngẫu lực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20±5℃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20±15℃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25±5℃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25±10℃</w:t>
      </w:r>
    </w:p>
    <w:p/>
    <w:p>
      <w:r>
        <w:rPr>
          <w:rFonts w:ascii="Arial" w:hAnsi="Arial" w:eastAsia="Arial"/>
          <w:b w:val="0"/>
          <w:sz w:val="20"/>
        </w:rPr>
        <w:t>Câu 003: Quy cách phán định đối với cờ lê ngẫu lực từ lần hiệu chỉnh thứ hai trở đi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±10%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