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S22-1: Liên quan tài liệu: Bản tiêu chuẩn hiệu chỉnh điểm kiểm Cờ lê ngẫu lực</w:t>
      </w:r>
    </w:p>
    <w:p>
      <w:r>
        <w:rPr>
          <w:rFonts w:ascii="Arial" w:hAnsi="Arial" w:eastAsia="Arial"/>
          <w:b w:val="0"/>
          <w:sz w:val="18"/>
        </w:rPr>
        <w:t>Đối tượng test: Đội LK, TP, ĐGSP, HC, GCCK</w:t>
      </w:r>
    </w:p>
    <w:p>
      <w:r>
        <w:rPr>
          <w:rFonts w:ascii="Arial" w:hAnsi="Arial" w:eastAsia="Arial"/>
          <w:b w:val="0"/>
          <w:sz w:val="20"/>
        </w:rPr>
        <w:t>Câu 001: Theo tiêu chuẩn kỹ thuật của cờ lê ngẫu lực, chu kỳ hiệu chỉnh được quy định là bao nhiêu năm?</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p>
      <w:r>
        <w:rPr>
          <w:rFonts w:ascii="Arial" w:hAnsi="Arial" w:eastAsia="Arial"/>
          <w:b w:val="0"/>
          <w:sz w:val="20"/>
        </w:rPr>
        <w:t>Câu 002: Khi sử dụng các giá trị được ghi trong bảng kết quả dưới đơn vị (N) nhưng cần đổi sang đơn vị (kgf), công thức quy đổi chính xác được quy định trong tài liệu là gì?</w:t>
      </w:r>
    </w:p>
    <w:p>
      <w:pPr>
        <w:ind w:left="454"/>
      </w:pPr>
      <w:r>
        <w:rPr>
          <w:rFonts w:ascii="Arial" w:hAnsi="Arial" w:eastAsia="Arial"/>
          <w:b w:val="0"/>
          <w:sz w:val="20"/>
        </w:rPr>
        <w:t>A. 1 kgf = 9.80665 N</w:t>
      </w:r>
    </w:p>
    <w:p>
      <w:pPr>
        <w:ind w:left="454"/>
      </w:pPr>
      <w:r>
        <w:rPr>
          <w:rFonts w:ascii="Arial" w:hAnsi="Arial" w:eastAsia="Arial"/>
          <w:b w:val="0"/>
          <w:sz w:val="20"/>
        </w:rPr>
        <w:t>B. 1 kgf = 9.81 N</w:t>
      </w:r>
    </w:p>
    <w:p>
      <w:pPr>
        <w:ind w:left="454"/>
      </w:pPr>
      <w:r>
        <w:rPr>
          <w:rFonts w:ascii="Arial" w:hAnsi="Arial" w:eastAsia="Arial"/>
          <w:b w:val="0"/>
          <w:sz w:val="20"/>
        </w:rPr>
        <w:t>C. 1 kgf = 10 N</w:t>
      </w:r>
    </w:p>
    <w:p>
      <w:pPr>
        <w:ind w:left="454"/>
      </w:pPr>
      <w:r>
        <w:rPr>
          <w:rFonts w:ascii="Arial" w:hAnsi="Arial" w:eastAsia="Arial"/>
          <w:b w:val="0"/>
          <w:sz w:val="20"/>
        </w:rPr>
        <w:t>D. 1 kgf = 9.8 N</w:t>
      </w:r>
    </w:p>
    <w:p/>
    <w:p>
      <w:r>
        <w:rPr>
          <w:rFonts w:ascii="Arial" w:hAnsi="Arial" w:eastAsia="Arial"/>
          <w:b/>
          <w:sz w:val="20"/>
        </w:rPr>
        <w:t>Câu 003: ◎ Trong quá trình sử dụng và hiệu chỉnh cờ lê ngẫu lực, khi xảy ra tình trạng quá tải vượt quá mức nào thì bắt buộc phải tiến hành hiệu chỉnh lại?</w:t>
      </w:r>
    </w:p>
    <w:p>
      <w:pPr>
        <w:ind w:left="454"/>
      </w:pPr>
      <w:r>
        <w:rPr>
          <w:rFonts w:ascii="Arial" w:hAnsi="Arial" w:eastAsia="Arial"/>
          <w:b w:val="0"/>
          <w:sz w:val="20"/>
        </w:rPr>
        <w:t>A. Quá tải vượt quá 10%</w:t>
      </w:r>
    </w:p>
    <w:p>
      <w:pPr>
        <w:ind w:left="454"/>
      </w:pPr>
      <w:r>
        <w:rPr>
          <w:rFonts w:ascii="Arial" w:hAnsi="Arial" w:eastAsia="Arial"/>
          <w:b w:val="0"/>
          <w:sz w:val="20"/>
        </w:rPr>
        <w:t>B. Quá tải vượt quá 15%</w:t>
      </w:r>
    </w:p>
    <w:p>
      <w:pPr>
        <w:ind w:left="454"/>
      </w:pPr>
      <w:r>
        <w:rPr>
          <w:rFonts w:ascii="Arial" w:hAnsi="Arial" w:eastAsia="Arial"/>
          <w:b w:val="0"/>
          <w:sz w:val="20"/>
        </w:rPr>
        <w:t>C. Quá tải vượt quá 20%</w:t>
      </w:r>
    </w:p>
    <w:p>
      <w:pPr>
        <w:ind w:left="454"/>
      </w:pPr>
      <w:r>
        <w:rPr>
          <w:rFonts w:ascii="Arial" w:hAnsi="Arial" w:eastAsia="Arial"/>
          <w:b w:val="0"/>
          <w:sz w:val="20"/>
        </w:rPr>
        <w:t>D. Quá tải vượt quá 25%</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