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S24 - 1 f: Liên quan tài liệu: MIẾNG CHUẨN ĐỘ NHÁM BỀ MẶT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Đối với cứ điểm DLM (bao gồm DWM), cơ quan nào được ủy quyền thực thi hiệu chỉnh theo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① Nhật Bản (Nhà chế tạo hiệu chỉnh), ② Trung tâm đo đạc quốc gia Hoa Nam (SCM)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① Nhật Bản (hiệu chỉnh nơi chế tạo), ② Viện nghiên cứu đo lường tỉnh Liêu Ninh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① Nhật Bản (Nhà sản xuất hiệu chuẩn), ② Nhà cung cấp hiệu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Phòng thí nghiệm tiêu chuẩn quốc gia</w:t>
      </w:r>
    </w:p>
    <w:p/>
    <w:p>
      <w:r>
        <w:rPr>
          <w:rFonts w:ascii="Arial" w:hAnsi="Arial" w:eastAsia="Arial"/>
          <w:b/>
          <w:sz w:val="20"/>
        </w:rPr>
        <w:t>Câu 002: ◎ Tiêu chí đánh giá (độ chính xác) đối với các miếng chuẩn độ nhám bề mặt E-MC-S10A, E-MC-S24A/B/C và SS-G・N được thống nhất quy định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E-MC-S10A, E-MC-S24A/B/C là ±5%; SS-G・N là ±1.5%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Thống nhất tất cả thành ±5% (Giá trị chỉ định / Trị số biểu thị ±5%)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Thống nhất tất cả thành ±1.5%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E-MC-S10A, E-MC-S24A/B/C là ±3%; SS-G・N là ±5%</w:t>
      </w:r>
    </w:p>
    <w:p/>
    <w:p>
      <w:r>
        <w:rPr>
          <w:rFonts w:ascii="Arial" w:hAnsi="Arial" w:eastAsia="Arial"/>
          <w:b w:val="0"/>
          <w:sz w:val="20"/>
        </w:rPr>
        <w:t>Câu 003: Theo tiêu chuẩn, chu kỳ hiệu chỉnh và nhiệt độ tiêu chuẩn đối với thiết bị 'Miếng chuẩn độ nhám bề mặt'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Chu kỳ hiệu chỉnh 1 năm, Nhiệt độ tiêu chuẩn 20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Chu kỳ hiệu chỉnh 2 năm, Nhiệt độ tiêu chuẩn 20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Chu kỳ hiệu chỉnh 1 năm, Nhiệt độ tiêu chuẩn 25 ± 2°C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Chu kỳ hiệu chỉnh 6 tháng, Nhiệt độ tiêu chuẩn 20 ± 2°C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