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S26-1 f: Liên quan tài liệu: QUẢ CẦU CHUẨN (MASTER BALL)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tài liệu kỹ thuật, thông số độ chính xác về độ tròn của quả cầu chuẩn (Master Ball)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0.01 µm Max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0.03 µm Max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0.05 µm Max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0.10 µm Max</w:t>
      </w:r>
    </w:p>
    <w:p/>
    <w:p>
      <w:r>
        <w:rPr>
          <w:rFonts w:ascii="Arial" w:hAnsi="Arial" w:eastAsia="Arial"/>
          <w:b w:val="0"/>
          <w:sz w:val="20"/>
        </w:rPr>
        <w:t>Câu 002: Nhiệt độ tiêu chuẩn được quy định dùng để hiệu chỉnh Quả cầu chuẩn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18 ± 1°C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20 ± 1°C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23 ± 2°C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25 ± 1°C</w:t>
      </w:r>
    </w:p>
    <w:p/>
    <w:p>
      <w:r>
        <w:rPr>
          <w:rFonts w:ascii="Arial" w:hAnsi="Arial" w:eastAsia="Arial"/>
          <w:b w:val="0"/>
          <w:sz w:val="20"/>
        </w:rPr>
        <w:t>Câu 003: Theo tài liệu tiêu chuẩn, chu kì hiệu chỉnh định kì đối với Quả cầu chuẩn (Master Ball) là bao nhiêu năm?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01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03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05 năm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