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7-S00 Ban V IT HOA ===</w:t>
      </w:r>
    </w:p>
    <w:p>
      <w:r>
        <w:rPr>
          <w:rFonts w:ascii="Arial" w:hAnsi="Arial" w:eastAsia="Arial"/>
          <w:b/>
          <w:sz w:val="18"/>
        </w:rPr>
        <w:t>Phần S65-1s: Liên quan tài liệu: BẢN TIÊU CHUẨN HIỆU CHỈNH ĐIỂM KIỂM - ĐỒNG HỒ ĐO NHIỆT ĐỘ ĐỘ ẨM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Khi đơn vị sở hữu nhiều dụng cụ chuẩn để hiệu chỉnh, phương pháp thực hiện đúng theo tiêu chuẩn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Tất cả các máy đều phải gửi đi hiệu chỉnh tại cơ quan bên ngoài hàng năm.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Chỉ cần hiệu chỉnh máy chính, các máy khác không cần kiểm tra lại.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Lấy một máy làm chính (được hiệu chỉnh tại cơ quan hiệu chỉnh) làm cơ sở để hiệu chỉnh các máy chuẩn khác.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Sử dụng máy có độ chính xác thấp hơn để hiệu chỉnh cho máy có độ chính xác cao hơn.</w:t>
      </w:r>
    </w:p>
    <w:p/>
    <w:p>
      <w:r>
        <w:rPr>
          <w:rFonts w:ascii="Arial" w:hAnsi="Arial" w:eastAsia="Arial"/>
          <w:b w:val="0"/>
          <w:sz w:val="20"/>
        </w:rPr>
        <w:t>Câu 002: Theo tiêu chuẩn S65-1s, chu kỳ hiệu chỉnh thông thường đối với đồng hồ đo nhiệt độ độ ẩm được quy định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6 tháng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1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Tùy thuộc vào tần suất sử dụng thực tế</w:t>
      </w:r>
    </w:p>
    <w:p/>
    <w:p>
      <w:r>
        <w:rPr>
          <w:rFonts w:ascii="Arial" w:hAnsi="Arial" w:eastAsia="Arial"/>
          <w:b/>
          <w:sz w:val="20"/>
        </w:rPr>
        <w:t>Câu 003: ◎ Trong điều kiện hiệu chỉnh thông thường (10℃/30% và 30℃/70%), trị phán định sai lệch cho phép của đối tượng hiệu chỉnh so với máy chính trong công ty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±0.3℃ / ±3%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±1.0℃ / ±5%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±0.5℃ / ±4%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±0.2℃ / ±2%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