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7-S00 Ban V IT HOA ===</w:t>
      </w:r>
    </w:p>
    <w:p>
      <w:r>
        <w:rPr>
          <w:rFonts w:ascii="Arial" w:hAnsi="Arial" w:eastAsia="Arial"/>
          <w:b/>
          <w:sz w:val="18"/>
        </w:rPr>
        <w:t>Phần S72-2c: Liên quan tài liệu: Đầu dò gia tăng tốc độ dùng cho thiết bị thí nghiệm chấn động (dụng cụ đo Ono)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Nhiệt độ xung quanh quy định trong quá trình hiệu chỉnh thiết bị này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20±5℃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25±2℃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23±5℃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25±5℃</w:t>
      </w:r>
    </w:p>
    <w:p/>
    <w:p>
      <w:r>
        <w:rPr>
          <w:rFonts w:ascii="Arial" w:hAnsi="Arial" w:eastAsia="Arial"/>
          <w:b w:val="0"/>
          <w:sz w:val="20"/>
        </w:rPr>
        <w:t>Câu 002: Theo tiêu chuẩn hiệu chỉnh dụng cụ tiêu chuẩn S72-2c, chu kỳ hiệu chỉnh đối với đầu dò gia tăng tốc độ dùng cho thiết bị thí nghiệm chấn động là bao lâu?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1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2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6 tháng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3 năm</w:t>
      </w:r>
    </w:p>
    <w:p/>
    <w:p>
      <w:r>
        <w:rPr>
          <w:rFonts w:ascii="Arial" w:hAnsi="Arial" w:eastAsia="Arial"/>
          <w:b/>
          <w:sz w:val="20"/>
        </w:rPr>
        <w:t>Câu 003: ◎ Về quy định áp dụng độ nhạy khi sử dụng đầu dò gia tăng tốc độ đo chấn động, yêu cầu bắt buộc nào sau đây là chính xác?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Phải luôn áp dụng tại độ nhạy mới nhất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Có thể sử dụng độ nhạy ban đầu khi mới mua để tính toán suốt vòng đời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Được phép lấy giá trị trung bình giữa độ nhạy ban đầu và độ nhạy lần hiệu chỉnh gần nhất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Tùy thuộc vào phán đoán của kỹ thuật viên hiện trường mà chọn độ nhạy bất kỳ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