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S79-1d: Liên quan tài liệu: QUẢ CÂN CHUẨN CẤP 3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bảng độ chính xác của Quả cân chuẩn cấp 3, dung sai cho phép đối với lượng biểu thị 10kg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±3000mg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±1500mg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±750mg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±150mg</w:t>
      </w:r>
    </w:p>
    <w:p/>
    <w:p>
      <w:r>
        <w:rPr>
          <w:rFonts w:ascii="Arial" w:hAnsi="Arial" w:eastAsia="Arial"/>
          <w:b w:val="0"/>
          <w:sz w:val="20"/>
        </w:rPr>
        <w:t>Câu 002: Theo tài liệu tiêu chuẩn, chu kỳ hiệu chỉnh của dụng cụ tiêu chuẩn Quả cân chuẩn cấp 3 là bao nhiêu năm?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3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5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10 năm</w:t>
      </w:r>
    </w:p>
    <w:p/>
    <w:p>
      <w:r>
        <w:rPr>
          <w:rFonts w:ascii="Arial" w:hAnsi="Arial" w:eastAsia="Arial"/>
          <w:b w:val="0"/>
          <w:sz w:val="20"/>
        </w:rPr>
        <w:t>Câu 003: Quy cách phán định đối với Quả cân chuẩn cấp 3 trong tài liệu được tham khảo theo tiêu chuẩn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JIS B 7609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ISO 9001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JIS B 7502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OIML R111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