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9-Z00 Ban V IT HOA ===</w:t>
      </w:r>
    </w:p>
    <w:p>
      <w:r>
        <w:rPr>
          <w:rFonts w:ascii="Arial" w:hAnsi="Arial" w:eastAsia="Arial"/>
          <w:b/>
          <w:sz w:val="18"/>
        </w:rPr>
        <w:t>Phần Z00-0: Liên quan tài liệu: BẢN TIÊU CHUẨN HIỆU CHỈNH - ĐIỂM KIỂM DỤNG CỤ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Mục đích chính của việc ban hành và vận dụng mã số Z cho dụng cụ đo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Để giảm chi phí mua sắm dụng cụ đo mới hàng năm.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Để đối ứng với việc gia tăng tiêu chuẩn phán định hiệu chỉnh cùng với việc đưa vào máy đo.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Để thay thế hoàn toàn các tiêu chuẩn đo lường cũ của tập đoàn.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Để rút ngắn thời gian kiểm tra định kỳ các thiết bị sản xuất.</w:t>
      </w:r>
    </w:p>
    <w:p/>
    <w:p>
      <w:r>
        <w:rPr>
          <w:rFonts w:ascii="Arial" w:hAnsi="Arial" w:eastAsia="Arial"/>
          <w:b/>
          <w:sz w:val="20"/>
        </w:rPr>
        <w:t>Câu 002: ◎ Phương pháp vận dụng mã số Z cho dụng cụ đo được quy định như thế nào trong tiêu chuẩn Z00-0?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Mã số Z được cấp ngẫu nhiên bởi trưởng bộ phận sản xuất khi có thiết bị mới.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áp dụng mã số Z cho các dụng cụ đo đã hết hạn hiệu chuẩn.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định mã số Z tương ứng trong phương pháp phán định của bản tiêu chuẩn hiệu chỉnh - điểm kiểm dụng cụ đo.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Mã số Z chỉ được sử dụng cho các dụng cụ đo tự chế tại nhà máy.</w:t>
      </w:r>
    </w:p>
    <w:p/>
    <w:p>
      <w:r>
        <w:rPr>
          <w:rFonts w:ascii="Arial" w:hAnsi="Arial" w:eastAsia="Arial"/>
          <w:b w:val="0"/>
          <w:sz w:val="20"/>
        </w:rPr>
        <w:t>Câu 003: Trường hợp nào sau đây KHÔNG nằm trong điều kiện cần thiết để ban hành tiêu chuẩn mã số Z?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Trường hợp nơi chế tạo và thể thức nhiều.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Tiêu chuẩn phán định khác nhau tùy theo sự kết hợp của thiết bị.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Tiêu chuẩn phán định khác nhau tùy theo quy cách tham khảo - trích dẫn.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Khi dụng cụ đo bị hư hỏng vật lý và cần phải tiêu hủy ngay lập tức.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