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Token 中转站即 Token 银行：AI 算力金融化的理论框架</w:t>
      </w:r>
    </w:p>
    <w:p>
      <w:pPr>
        <w:pStyle w:val="Author"/>
      </w:pPr>
      <w:r>
        <w:t xml:space="preserve">GAVIN KIM (J&amp;P, Thailand)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oken-中转站即-token-银行ai-算力金融化的理论框架"/>
      <w:r>
        <w:t xml:space="preserve">Token 中转站即 Token 银行：AI 算力金融化的理论框架</w:t>
      </w:r>
      <w:bookmarkEnd w:id="20"/>
    </w:p>
    <w:p>
      <w:pPr>
        <w:pStyle w:val="FirstParagraph"/>
      </w:pPr>
      <w:r>
        <w:rPr>
          <w:b/>
        </w:rPr>
        <w:t xml:space="preserve">A Theoretical Framework: Token Relay Stations as Virtual Banks in the AI Compute Economy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作者</w:t>
      </w:r>
      <w:r>
        <w:t xml:space="preserve">：GAVIN KIM</w:t>
      </w:r>
      <w:r>
        <w:t xml:space="preserve"> </w:t>
      </w:r>
      <w:r>
        <w:rPr>
          <w:b/>
        </w:rPr>
        <w:t xml:space="preserve">机构</w:t>
      </w:r>
      <w:r>
        <w:t xml:space="preserve">：J&amp;P (THAILAND)</w:t>
      </w:r>
      <w:r>
        <w:t xml:space="preserve"> </w:t>
      </w:r>
      <w:r>
        <w:rPr>
          <w:b/>
        </w:rPr>
        <w:t xml:space="preserve">联系</w:t>
      </w:r>
      <w:r>
        <w:t xml:space="preserve">：thaibuddy.ai@gmail.com</w:t>
      </w:r>
      <w:r>
        <w:t xml:space="preserve"> </w:t>
      </w:r>
      <w:r>
        <w:rPr>
          <w:b/>
        </w:rPr>
        <w:t xml:space="preserve">首次发布日期</w:t>
      </w:r>
      <w:r>
        <w:t xml:space="preserve">：2026 年 5 月 6 日</w:t>
      </w:r>
      <w:r>
        <w:t xml:space="preserve"> </w:t>
      </w:r>
      <w:r>
        <w:rPr>
          <w:b/>
        </w:rPr>
        <w:t xml:space="preserve">版本</w:t>
      </w:r>
      <w:r>
        <w:t xml:space="preserve">：v1.0</w:t>
      </w:r>
      <w:r>
        <w:t xml:space="preserve"> </w:t>
      </w:r>
      <w:r>
        <w:rPr>
          <w:b/>
        </w:rPr>
        <w:t xml:space="preserve">许可协议</w:t>
      </w:r>
      <w:r>
        <w:t xml:space="preserve">：CC BY 4.0（署名 4.0 国际）</w:t>
      </w:r>
      <w:r>
        <w:t xml:space="preserve"> </w:t>
      </w:r>
      <w:r>
        <w:rPr>
          <w:b/>
        </w:rPr>
        <w:t xml:space="preserve">引用方式</w:t>
      </w:r>
      <w:r>
        <w:t xml:space="preserve">：Kim, Gavin. (2026). Token 中转站即 Token 银行：AI 算力金融化的理论框架. J&amp;P (Thailand). v1.0.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摘要"/>
      <w:r>
        <w:t xml:space="preserve">摘要</w:t>
      </w:r>
      <w:bookmarkEnd w:id="21"/>
    </w:p>
    <w:p>
      <w:pPr>
        <w:pStyle w:val="FirstParagraph"/>
      </w:pPr>
      <w:r>
        <w:t xml:space="preserve">本文提出一个独立原创的理论命题：</w:t>
      </w:r>
      <w:r>
        <w:rPr>
          <w:b/>
        </w:rPr>
        <w:t xml:space="preserve">AI Token 中转站本质上是一种 Token 银行</w:t>
      </w:r>
      <w:r>
        <w:t xml:space="preserve">。在大模型推理 token 已成为 AI 算力时代核心计量单位的背景下，将多模型 API 聚合平台视为</w:t>
      </w:r>
      <w:r>
        <w:t xml:space="preserve">“</w:t>
      </w:r>
      <w:r>
        <w:t xml:space="preserve">经销商</w:t>
      </w:r>
      <w:r>
        <w:t xml:space="preserve">”</w:t>
      </w:r>
      <w:r>
        <w:t xml:space="preserve">、</w:t>
      </w:r>
      <w:r>
        <w:t xml:space="preserve">“</w:t>
      </w:r>
      <w:r>
        <w:t xml:space="preserve">代理商</w:t>
      </w:r>
      <w:r>
        <w:t xml:space="preserve">”</w:t>
      </w:r>
      <w:r>
        <w:t xml:space="preserve">或</w:t>
      </w:r>
      <w:r>
        <w:t xml:space="preserve">“</w:t>
      </w:r>
      <w:r>
        <w:t xml:space="preserve">网关</w:t>
      </w:r>
      <w:r>
        <w:t xml:space="preserve">”</w:t>
      </w:r>
      <w:r>
        <w:t xml:space="preserve">的传统认知，遮蔽了其作为金融中介的真实结构。本文从 token 的能源货币属性出发，论证 Token 中转站完整复刻了商业银行的四大核心功能——聚合、期限转换、风险池化、信用创造——并在此基础上派生出一个完整的金融产品矩阵。本文进一步定义</w:t>
      </w:r>
      <w:r>
        <w:t xml:space="preserve">“</w:t>
      </w:r>
      <w:r>
        <w:t xml:space="preserve">Token 银行</w:t>
      </w:r>
      <w:r>
        <w:t xml:space="preserve">”</w:t>
      </w:r>
      <w:r>
        <w:t xml:space="preserve">为一种新型</w:t>
      </w:r>
      <w:r>
        <w:rPr>
          <w:b/>
        </w:rPr>
        <w:t xml:space="preserve">虚拟银行</w:t>
      </w:r>
      <w:r>
        <w:t xml:space="preserve">（Virtual Bank）形态，其业务范围天然包含数字货币交易、Token 抵押购买与算力衍生品做市。最后，本文通过与 GitHub 聚合模式的结构性对比，论证 Token 银行的飞轮机制、毛利结构与护城河属性与传统知识聚合平台具有根本性差异。</w:t>
      </w:r>
    </w:p>
    <w:p>
      <w:pPr>
        <w:pStyle w:val="BodyText"/>
      </w:pPr>
      <w:r>
        <w:rPr>
          <w:b/>
        </w:rPr>
        <w:t xml:space="preserve">关键词</w:t>
      </w:r>
      <w:r>
        <w:t xml:space="preserve">：Token 银行、AI 算力金融、Token 中转站、虚拟银行、智能路由套利、OPC（开放平台与清算所）、Token 衍生品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引言"/>
      <w:r>
        <w:t xml:space="preserve">1. 引言</w:t>
      </w:r>
      <w:bookmarkEnd w:id="22"/>
    </w:p>
    <w:p>
      <w:pPr>
        <w:pStyle w:val="FirstParagraph"/>
      </w:pPr>
      <w:r>
        <w:t xml:space="preserve">人工智能进入大规模商业化阶段后，大模型推理 token 已成为 AI 时代最重要的可计量算力单位。从 OpenAI 的 GPT 系列、Anthropic 的 Claude 系列、Google 的 Gemini 系列，到 DeepSeek、Qwen、MiniMax 等中国厂商，行业已普遍采用</w:t>
      </w:r>
      <w:r>
        <w:t xml:space="preserve">“</w:t>
      </w:r>
      <w:r>
        <w:t xml:space="preserve">按 token 计费</w:t>
      </w:r>
      <w:r>
        <w:t xml:space="preserve">”</w:t>
      </w:r>
      <w:r>
        <w:t xml:space="preserve">作为 API 商业化的标准模式。一个直接结果是：在模型层与最终应用层之间，自然出现了一类专门承接 token 流通的中介机构，本文称之为</w:t>
      </w:r>
      <w:r>
        <w:t xml:space="preserve"> </w:t>
      </w:r>
      <w:r>
        <w:rPr>
          <w:b/>
        </w:rPr>
        <w:t xml:space="preserve">Token 中转站</w:t>
      </w:r>
      <w:r>
        <w:t xml:space="preserve">（Token Relay Station）。</w:t>
      </w:r>
    </w:p>
    <w:p>
      <w:pPr>
        <w:pStyle w:val="BodyText"/>
      </w:pPr>
      <w:r>
        <w:t xml:space="preserve">当前业界与媒体对 Token 中转站的主流叙述沿用三种类比：API 经销商、API 网关、API 聚合器。这三种类比共享一个隐含假设——中转站是技术性的、渠道性的、低附加值的。本文认为，这一假设是结构性的认知错误。</w:t>
      </w:r>
      <w:r>
        <w:rPr>
          <w:b/>
        </w:rPr>
        <w:t xml:space="preserve">它低估了 Token 中转站的实际功能，并因此低估了其商业天花板与战略价值。</w:t>
      </w:r>
    </w:p>
    <w:p>
      <w:pPr>
        <w:pStyle w:val="BodyText"/>
      </w:pPr>
      <w:r>
        <w:t xml:space="preserve">本文核心论题为：</w:t>
      </w:r>
    </w:p>
    <w:p>
      <w:pPr>
        <w:pStyle w:val="BlockText"/>
      </w:pPr>
      <w:r>
        <w:rPr>
          <w:b/>
        </w:rPr>
        <w:t xml:space="preserve">做 Token 中转站，就是做 Token 银行。</w:t>
      </w:r>
    </w:p>
    <w:p>
      <w:pPr>
        <w:pStyle w:val="FirstParagraph"/>
      </w:pPr>
      <w:r>
        <w:t xml:space="preserve">这一论题不是一个营销隐喻，而是一个可论证的结构性等价。本文将通过功能映射、产品矩阵、与制度对比三种方式，证明这一等价的严肃性，并据此给出 Token 银行作为新型虚拟银行的完整定义。</w:t>
      </w:r>
    </w:p>
    <w:p>
      <w:pPr>
        <w:pStyle w:val="Heading2"/>
      </w:pPr>
      <w:bookmarkStart w:id="23" w:name="token-的本质作为能源货币的三重属性"/>
      <w:r>
        <w:t xml:space="preserve">2. Token 的本质：作为能源货币的三重属性</w:t>
      </w:r>
      <w:bookmarkEnd w:id="23"/>
    </w:p>
    <w:p>
      <w:pPr>
        <w:pStyle w:val="FirstParagraph"/>
      </w:pPr>
      <w:r>
        <w:t xml:space="preserve">任何关于 Token 中转站的讨论，都必须先正确刻画 token 本身。本文主张 token 是</w:t>
      </w:r>
      <w:r>
        <w:rPr>
          <w:b/>
        </w:rPr>
        <w:t xml:space="preserve">算力时代的能源货币</w:t>
      </w:r>
      <w:r>
        <w:t xml:space="preserve">，但这一类比需要拆解到三重属性才精确：</w:t>
      </w:r>
    </w:p>
    <w:p>
      <w:pPr>
        <w:pStyle w:val="BodyText"/>
      </w:pPr>
      <w:r>
        <w:rPr>
          <w:b/>
        </w:rPr>
        <w:t xml:space="preserve">(1) 类电力属性</w:t>
      </w:r>
      <w:r>
        <w:t xml:space="preserve">：Token 一旦生成即时消耗，不可库存；存在峰谷需求与限流（rate limit）；对延迟极度敏感。这一属性意味着 token 的供给侧调度具有</w:t>
      </w:r>
      <w:r>
        <w:t xml:space="preserve">“</w:t>
      </w:r>
      <w:r>
        <w:t xml:space="preserve">电网</w:t>
      </w:r>
      <w:r>
        <w:t xml:space="preserve">”</w:t>
      </w:r>
      <w:r>
        <w:t xml:space="preserve">的工程特征。</w:t>
      </w:r>
    </w:p>
    <w:p>
      <w:pPr>
        <w:pStyle w:val="BodyText"/>
      </w:pPr>
      <w:r>
        <w:rPr>
          <w:b/>
        </w:rPr>
        <w:t xml:space="preserve">(2) 类燃油属性</w:t>
      </w:r>
      <w:r>
        <w:t xml:space="preserve">：不同模型的 token 异质化显著——同样 1000 token，Claude Opus、GPT-5、Gemini Ultra、Qwen 之间的</w:t>
      </w:r>
      <w:r>
        <w:t xml:space="preserve">“</w:t>
      </w:r>
      <w:r>
        <w:t xml:space="preserve">智力密度</w:t>
      </w:r>
      <w:r>
        <w:t xml:space="preserve">”</w:t>
      </w:r>
      <w:r>
        <w:t xml:space="preserve">与</w:t>
      </w:r>
      <w:r>
        <w:t xml:space="preserve">“</w:t>
      </w:r>
      <w:r>
        <w:t xml:space="preserve">单位成本</w:t>
      </w:r>
      <w:r>
        <w:t xml:space="preserve">”</w:t>
      </w:r>
      <w:r>
        <w:t xml:space="preserve">差异极大。这一属性意味着 token 市场天然存在标号差异、热值差异与价差套利空间。</w:t>
      </w:r>
    </w:p>
    <w:p>
      <w:pPr>
        <w:pStyle w:val="BodyText"/>
      </w:pPr>
      <w:r>
        <w:rPr>
          <w:b/>
        </w:rPr>
        <w:t xml:space="preserve">(3) 类流量属性</w:t>
      </w:r>
      <w:r>
        <w:t xml:space="preserve">：Token 按字节级单位计费、跨网络结算、有 QPS 上限、需要对账与审计。这一属性意味着 token 市场必然要求一个清算层。</w:t>
      </w:r>
    </w:p>
    <w:p>
      <w:pPr>
        <w:pStyle w:val="BodyText"/>
      </w:pPr>
      <w:r>
        <w:t xml:space="preserve">这三重属性共同决定了一个推论：</w:t>
      </w:r>
      <w:r>
        <w:rPr>
          <w:b/>
        </w:rPr>
        <w:t xml:space="preserve">任何严肃的 token 消费方都不应将命脉绑定在单一供应商</w:t>
      </w:r>
      <w:r>
        <w:t xml:space="preserve">。供应链断点、限流事件、模型迭代抛弃旧契约、价格突变——这四类风险在过去 24 个月已多次发生。这正是 Token 中转站作为中介机构存在的客观必要。</w:t>
      </w:r>
    </w:p>
    <w:p>
      <w:pPr>
        <w:pStyle w:val="Heading2"/>
      </w:pPr>
      <w:bookmarkStart w:id="24" w:name="经销商认知的局限"/>
      <w:r>
        <w:t xml:space="preserve">3. 经销商认知的局限</w:t>
      </w:r>
      <w:bookmarkEnd w:id="24"/>
    </w:p>
    <w:p>
      <w:pPr>
        <w:pStyle w:val="FirstParagraph"/>
      </w:pPr>
      <w:r>
        <w:t xml:space="preserve">将 Token 中转站理解为</w:t>
      </w:r>
      <w:r>
        <w:t xml:space="preserve">“</w:t>
      </w:r>
      <w:r>
        <w:t xml:space="preserve">API 经销商</w:t>
      </w:r>
      <w:r>
        <w:t xml:space="preserve">”</w:t>
      </w:r>
      <w:r>
        <w:t xml:space="preserve">导致的最大问题，是结构性低毛利。</w:t>
      </w:r>
    </w:p>
    <w:p>
      <w:pPr>
        <w:pStyle w:val="BodyText"/>
      </w:pPr>
      <w:r>
        <w:t xml:space="preserve">经销商模型的盈利来源是</w:t>
      </w:r>
      <w:r>
        <w:rPr>
          <w:b/>
        </w:rPr>
        <w:t xml:space="preserve">拿货价 vs 零售价的批发价差</w:t>
      </w:r>
      <w:r>
        <w:t xml:space="preserve">。在 AI Token 这类高度同质化的商品上，价差会被三种力量持续压缩：</w:t>
      </w:r>
    </w:p>
    <w:p>
      <w:pPr>
        <w:numPr>
          <w:ilvl w:val="0"/>
          <w:numId w:val="1001"/>
        </w:numPr>
        <w:pStyle w:val="Compact"/>
      </w:pPr>
      <w:r>
        <w:t xml:space="preserve">上游模型厂商持续推出官方直连价；</w:t>
      </w:r>
    </w:p>
    <w:p>
      <w:pPr>
        <w:numPr>
          <w:ilvl w:val="0"/>
          <w:numId w:val="1001"/>
        </w:numPr>
        <w:pStyle w:val="Compact"/>
      </w:pPr>
      <w:r>
        <w:t xml:space="preserve">同业 N 家中转站价格战；</w:t>
      </w:r>
    </w:p>
    <w:p>
      <w:pPr>
        <w:numPr>
          <w:ilvl w:val="0"/>
          <w:numId w:val="1001"/>
        </w:numPr>
        <w:pStyle w:val="Compact"/>
      </w:pPr>
      <w:r>
        <w:t xml:space="preserve">客户对模型品牌的直接认知度提高，绕过中介的意愿增强。</w:t>
      </w:r>
    </w:p>
    <w:p>
      <w:pPr>
        <w:pStyle w:val="FirstParagraph"/>
      </w:pPr>
      <w:r>
        <w:t xml:space="preserve">经销商模型的典型毛利率在 5%–15% 区间。这是一门可生存的生意，但</w:t>
      </w:r>
      <w:r>
        <w:rPr>
          <w:b/>
        </w:rPr>
        <w:t xml:space="preserve">不是一门有结构性增长性的生意</w:t>
      </w:r>
      <w:r>
        <w:t xml:space="preserve">，更不是一门值得风险资本下重注的生意。</w:t>
      </w:r>
    </w:p>
    <w:p>
      <w:pPr>
        <w:pStyle w:val="BodyText"/>
      </w:pPr>
      <w:r>
        <w:t xml:space="preserve">更根本的问题是：经销商认知错过了 Token 中转站的真实功能集。一个真实运营中的 Token 中转站，每日都在执行以下动作：</w:t>
      </w:r>
    </w:p>
    <w:p>
      <w:pPr>
        <w:numPr>
          <w:ilvl w:val="0"/>
          <w:numId w:val="1002"/>
        </w:numPr>
        <w:pStyle w:val="Compact"/>
      </w:pPr>
      <w:r>
        <w:t xml:space="preserve">聚合海量散户预付款，向上游谈</w:t>
      </w:r>
      <w:r>
        <w:t xml:space="preserve">“</w:t>
      </w:r>
      <w:r>
        <w:t xml:space="preserve">承诺用量折扣（committed use discount）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在多家上游之间动态分配请求以稳定 SLA</w:t>
      </w:r>
    </w:p>
    <w:p>
      <w:pPr>
        <w:numPr>
          <w:ilvl w:val="0"/>
          <w:numId w:val="1002"/>
        </w:numPr>
        <w:pStyle w:val="Compact"/>
      </w:pPr>
      <w:r>
        <w:t xml:space="preserve">为下游客户提供</w:t>
      </w:r>
      <w:r>
        <w:t xml:space="preserve">“</w:t>
      </w:r>
      <w:r>
        <w:t xml:space="preserve">先用后付</w:t>
      </w:r>
      <w:r>
        <w:t xml:space="preserve">”</w:t>
      </w:r>
      <w:r>
        <w:t xml:space="preserve">的信用额度</w:t>
      </w:r>
    </w:p>
    <w:p>
      <w:pPr>
        <w:numPr>
          <w:ilvl w:val="0"/>
          <w:numId w:val="1002"/>
        </w:numPr>
        <w:pStyle w:val="Compact"/>
      </w:pPr>
      <w:r>
        <w:t xml:space="preserve">缓存重复请求以零成本变现</w:t>
      </w:r>
    </w:p>
    <w:p>
      <w:pPr>
        <w:numPr>
          <w:ilvl w:val="0"/>
          <w:numId w:val="1002"/>
        </w:numPr>
        <w:pStyle w:val="Compact"/>
      </w:pPr>
      <w:r>
        <w:t xml:space="preserve">在模型限流时自动降级或切换以维持服务</w:t>
      </w:r>
    </w:p>
    <w:p>
      <w:pPr>
        <w:pStyle w:val="FirstParagraph"/>
      </w:pPr>
      <w:r>
        <w:t xml:space="preserve">这些动作都不是经销商在做的事。</w:t>
      </w:r>
      <w:r>
        <w:rPr>
          <w:b/>
        </w:rPr>
        <w:t xml:space="preserve">这些动作是银行在做的事。</w:t>
      </w:r>
    </w:p>
    <w:p>
      <w:pPr>
        <w:pStyle w:val="Heading2"/>
      </w:pPr>
      <w:bookmarkStart w:id="25" w:name="核心论题token-中转站-token-银行"/>
      <w:r>
        <w:t xml:space="preserve">4. 核心论题：Token 中转站 = Token 银行</w:t>
      </w:r>
      <w:bookmarkEnd w:id="25"/>
    </w:p>
    <w:p>
      <w:pPr>
        <w:pStyle w:val="FirstParagraph"/>
      </w:pPr>
      <w:r>
        <w:t xml:space="preserve">本文核心论题陈述如下：</w:t>
      </w:r>
    </w:p>
    <w:p>
      <w:pPr>
        <w:pStyle w:val="BlockText"/>
      </w:pPr>
      <w:r>
        <w:rPr>
          <w:b/>
        </w:rPr>
        <w:t xml:space="preserve">当一个机构的运营函数同时包含「资金/算力的聚合」、「期限转换」、「风险池化」、「信用创造」这四种功能时，无论它在表面上自称为何种业态，它的金融实质都是银行。</w:t>
      </w:r>
    </w:p>
    <w:p>
      <w:pPr>
        <w:pStyle w:val="BlockText"/>
      </w:pPr>
      <w:r>
        <w:rPr>
          <w:b/>
        </w:rPr>
        <w:t xml:space="preserve">Token 中转站的运营函数同时包含上述四种功能。因此 Token 中转站的金融实质是银行。</w:t>
      </w:r>
    </w:p>
    <w:p>
      <w:pPr>
        <w:pStyle w:val="BlockText"/>
      </w:pPr>
      <w:r>
        <w:rPr>
          <w:b/>
        </w:rPr>
        <w:t xml:space="preserve">由于其结算标的为 AI Token 而非法币，本文将其命名为 Token 银行（Token Bank）。</w:t>
      </w:r>
    </w:p>
    <w:p>
      <w:pPr>
        <w:pStyle w:val="FirstParagraph"/>
      </w:pPr>
      <w:r>
        <w:t xml:space="preserve">下一节展开四功能映射的细节。</w:t>
      </w:r>
    </w:p>
    <w:p>
      <w:pPr>
        <w:pStyle w:val="Heading2"/>
      </w:pPr>
      <w:bookmarkStart w:id="26" w:name="银行四功能在-token-中转站的完整映射"/>
      <w:r>
        <w:t xml:space="preserve">5. 银行四功能在 Token 中转站的完整映射</w:t>
      </w:r>
      <w:bookmarkEnd w:id="26"/>
    </w:p>
    <w:p>
      <w:pPr>
        <w:pStyle w:val="Heading3"/>
      </w:pPr>
      <w:bookmarkStart w:id="27" w:name="聚合aggregation"/>
      <w:r>
        <w:t xml:space="preserve">5.1 聚合（Aggregation）</w:t>
      </w:r>
      <w:bookmarkEnd w:id="27"/>
    </w:p>
    <w:p>
      <w:pPr>
        <w:pStyle w:val="FirstParagraph"/>
      </w:pPr>
      <w:r>
        <w:t xml:space="preserve">商业银行的第一性功能是吸收存款——把分散的、零散的、低单笔金额的资金聚合为可调度的资金池。</w:t>
      </w:r>
    </w:p>
    <w:p>
      <w:pPr>
        <w:pStyle w:val="BodyText"/>
      </w:pPr>
      <w:r>
        <w:t xml:space="preserve">Token 中转站的等价行为是</w:t>
      </w:r>
      <w:r>
        <w:rPr>
          <w:b/>
        </w:rPr>
        <w:t xml:space="preserve">双向聚合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上游聚合</w:t>
      </w:r>
      <w:r>
        <w:t xml:space="preserve">：与多家模型厂商建立预付款合同，把分散在各厂商的算力余额池化为统一可调度资源。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下游聚合</w:t>
      </w:r>
      <w:r>
        <w:t xml:space="preserve">：吸收开发者、中小企业、个人用户的预付款（充值余额），形成 token 消费的资金池。</w:t>
      </w:r>
    </w:p>
    <w:p>
      <w:pPr>
        <w:pStyle w:val="BodyText"/>
      </w:pPr>
      <w:r>
        <w:t xml:space="preserve">聚合本身就是收入来源。聚合规模决定了与上游谈判的折扣力度，也决定了下游可承诺的 SLA 等级。</w:t>
      </w:r>
      <w:r>
        <w:rPr>
          <w:b/>
        </w:rPr>
        <w:t xml:space="preserve">聚合就是议价权，议价权就是利润。</w:t>
      </w:r>
    </w:p>
    <w:p>
      <w:pPr>
        <w:pStyle w:val="Heading3"/>
      </w:pPr>
      <w:bookmarkStart w:id="28" w:name="期限转换maturity-transformation"/>
      <w:r>
        <w:t xml:space="preserve">5.2 期限转换（Maturity Transformation）</w:t>
      </w:r>
      <w:bookmarkEnd w:id="28"/>
    </w:p>
    <w:p>
      <w:pPr>
        <w:pStyle w:val="FirstParagraph"/>
      </w:pPr>
      <w:r>
        <w:t xml:space="preserve">商业银行最深层的盈利秘密是期限转换：吸收</w:t>
      </w:r>
      <w:r>
        <w:t xml:space="preserve">“</w:t>
      </w:r>
      <w:r>
        <w:t xml:space="preserve">短期可赎回的存款</w:t>
      </w:r>
      <w:r>
        <w:t xml:space="preserve">”</w:t>
      </w:r>
      <w:r>
        <w:t xml:space="preserve">，发放</w:t>
      </w:r>
      <w:r>
        <w:t xml:space="preserve">“</w:t>
      </w:r>
      <w:r>
        <w:t xml:space="preserve">长期不可赎回的贷款</w:t>
      </w:r>
      <w:r>
        <w:t xml:space="preserve">”</w:t>
      </w:r>
      <w:r>
        <w:t xml:space="preserve">，赚取期限利差。</w:t>
      </w:r>
    </w:p>
    <w:p>
      <w:pPr>
        <w:pStyle w:val="BodyText"/>
      </w:pPr>
      <w:r>
        <w:t xml:space="preserve">Token 中转站的等价机制是</w:t>
      </w:r>
      <w:r>
        <w:rPr>
          <w:b/>
        </w:rPr>
        <w:t xml:space="preserve">承诺—即用错配</w:t>
      </w:r>
      <w:r>
        <w:t xml:space="preserve">：</w:t>
      </w:r>
      <w:r>
        <w:t xml:space="preserve"> </w:t>
      </w:r>
      <w:r>
        <w:t xml:space="preserve">- 向上游签订</w:t>
      </w:r>
      <w:r>
        <w:rPr>
          <w:b/>
        </w:rPr>
        <w:t xml:space="preserve">年度承诺用量合约</w:t>
      </w:r>
      <w:r>
        <w:t xml:space="preserve">（commitment of N 亿 token / year），获得 30%–50% 的折扣；</w:t>
      </w:r>
      <w:r>
        <w:t xml:space="preserve"> </w:t>
      </w:r>
      <w:r>
        <w:t xml:space="preserve">- 向下游销售</w:t>
      </w:r>
      <w:r>
        <w:rPr>
          <w:b/>
        </w:rPr>
        <w:t xml:space="preserve">任意时点可调用的 token</w:t>
      </w:r>
      <w:r>
        <w:t xml:space="preserve">（无承诺、随用随付）。</w:t>
      </w:r>
    </w:p>
    <w:p>
      <w:pPr>
        <w:pStyle w:val="BodyText"/>
      </w:pPr>
      <w:r>
        <w:t xml:space="preserve">这一错配本身就是利润来源。</w:t>
      </w:r>
      <w:r>
        <w:rPr>
          <w:b/>
        </w:rPr>
        <w:t xml:space="preserve">用户为</w:t>
      </w:r>
      <w:r>
        <w:rPr>
          <w:b/>
        </w:rPr>
        <w:t xml:space="preserve">“</w:t>
      </w:r>
      <w:r>
        <w:rPr>
          <w:b/>
        </w:rPr>
        <w:t xml:space="preserve">灵活性</w:t>
      </w:r>
      <w:r>
        <w:rPr>
          <w:b/>
        </w:rPr>
        <w:t xml:space="preserve">”</w:t>
      </w:r>
      <w:r>
        <w:rPr>
          <w:b/>
        </w:rPr>
        <w:t xml:space="preserve">支付溢价；中转站通过承诺向上游获得折扣</w:t>
      </w:r>
      <w:r>
        <w:t xml:space="preserve">。两者之差，即期限转换利差，是 Token 银行最稳定的现金流引擎。</w:t>
      </w:r>
    </w:p>
    <w:p>
      <w:pPr>
        <w:pStyle w:val="Heading3"/>
      </w:pPr>
      <w:bookmarkStart w:id="29" w:name="风险池化risk-pooling"/>
      <w:r>
        <w:t xml:space="preserve">5.3 风险池化（Risk Pooling）</w:t>
      </w:r>
      <w:bookmarkEnd w:id="29"/>
    </w:p>
    <w:p>
      <w:pPr>
        <w:pStyle w:val="FirstParagraph"/>
      </w:pPr>
      <w:r>
        <w:t xml:space="preserve">商业银行的第三个核心功能是风险池化：把单一储户、单一借款人的特异性风险，分散到大数定律可以平滑的总体之上。</w:t>
      </w:r>
    </w:p>
    <w:p>
      <w:pPr>
        <w:pStyle w:val="BodyText"/>
      </w:pPr>
      <w:r>
        <w:t xml:space="preserve">Token 中转站的等价机制是</w:t>
      </w:r>
      <w:r>
        <w:rPr>
          <w:b/>
        </w:rPr>
        <w:t xml:space="preserve">调用模式池化</w:t>
      </w:r>
      <w:r>
        <w:t xml:space="preserve">：</w:t>
      </w:r>
      <w:r>
        <w:t xml:space="preserve"> </w:t>
      </w:r>
      <w:r>
        <w:t xml:space="preserve">- 单个客户的请求是 burst 型的——某天可能突然要 100 万 token，某天又可能为零；</w:t>
      </w:r>
      <w:r>
        <w:t xml:space="preserve"> </w:t>
      </w:r>
      <w:r>
        <w:t xml:space="preserve">- 池中的客户基数足够大时，</w:t>
      </w:r>
      <w:r>
        <w:rPr>
          <w:b/>
        </w:rPr>
        <w:t xml:space="preserve">总体调用曲线趋于平滑</w:t>
      </w:r>
      <w:r>
        <w:t xml:space="preserve">；</w:t>
      </w:r>
      <w:r>
        <w:t xml:space="preserve"> </w:t>
      </w:r>
      <w:r>
        <w:t xml:space="preserve">- 中转站可以据此向上游做更精确的需求预测，从而获得更优条款。</w:t>
      </w:r>
    </w:p>
    <w:p>
      <w:pPr>
        <w:pStyle w:val="BodyText"/>
      </w:pPr>
      <w:r>
        <w:t xml:space="preserve">风险池化的另一面是</w:t>
      </w:r>
      <w:r>
        <w:rPr>
          <w:b/>
        </w:rPr>
        <w:t xml:space="preserve">多供应商对冲</w:t>
      </w:r>
      <w:r>
        <w:t xml:space="preserve">：当 OpenAI 限流时，请求自动切换到 Anthropic；当 Anthropic 涨价时，可降级到 DeepSeek。</w:t>
      </w:r>
      <w:r>
        <w:rPr>
          <w:b/>
        </w:rPr>
        <w:t xml:space="preserve">任何单一上游事件都不再是终端用户的事件</w:t>
      </w:r>
      <w:r>
        <w:t xml:space="preserve">。这是中转站作为</w:t>
      </w:r>
      <w:r>
        <w:t xml:space="preserve">“</w:t>
      </w:r>
      <w:r>
        <w:t xml:space="preserve">风险吸收层</w:t>
      </w:r>
      <w:r>
        <w:t xml:space="preserve">”</w:t>
      </w:r>
      <w:r>
        <w:t xml:space="preserve">的核心价值。</w:t>
      </w:r>
    </w:p>
    <w:p>
      <w:pPr>
        <w:pStyle w:val="Heading3"/>
      </w:pPr>
      <w:bookmarkStart w:id="30" w:name="信用创造credit-creation"/>
      <w:r>
        <w:t xml:space="preserve">5.4 信用创造（Credit Creation）</w:t>
      </w:r>
      <w:bookmarkEnd w:id="30"/>
    </w:p>
    <w:p>
      <w:pPr>
        <w:pStyle w:val="FirstParagraph"/>
      </w:pPr>
      <w:r>
        <w:t xml:space="preserve">商业银行最高阶的功能是信用创造：在不实际</w:t>
      </w:r>
      <w:r>
        <w:t xml:space="preserve">“</w:t>
      </w:r>
      <w:r>
        <w:t xml:space="preserve">取走</w:t>
      </w:r>
      <w:r>
        <w:t xml:space="preserve">”</w:t>
      </w:r>
      <w:r>
        <w:t xml:space="preserve">存款的前提下，凭账面记录创造可流通的购买力。</w:t>
      </w:r>
    </w:p>
    <w:p>
      <w:pPr>
        <w:pStyle w:val="BodyText"/>
      </w:pPr>
      <w:r>
        <w:t xml:space="preserve">Token 中转站的等价机制是</w:t>
      </w:r>
      <w:r>
        <w:rPr>
          <w:b/>
        </w:rPr>
        <w:t xml:space="preserve">Token 信用额度</w:t>
      </w:r>
      <w:r>
        <w:t xml:space="preserve">：</w:t>
      </w:r>
      <w:r>
        <w:t xml:space="preserve"> </w:t>
      </w:r>
      <w:r>
        <w:t xml:space="preserve">- 给经过审核的开发者/企业一个</w:t>
      </w:r>
      <w:r>
        <w:t xml:space="preserve">“</w:t>
      </w:r>
      <w:r>
        <w:t xml:space="preserve">先用后付</w:t>
      </w:r>
      <w:r>
        <w:t xml:space="preserve">”</w:t>
      </w:r>
      <w:r>
        <w:t xml:space="preserve">的 token 额度（例如 1 万美元 / 月）；</w:t>
      </w:r>
      <w:r>
        <w:t xml:space="preserve"> </w:t>
      </w:r>
      <w:r>
        <w:t xml:space="preserve">- 客户在月内自由调用，到月底统一结算；</w:t>
      </w:r>
      <w:r>
        <w:t xml:space="preserve"> </w:t>
      </w:r>
      <w:r>
        <w:t xml:space="preserve">- 超出额度则限流或要求补充押金。</w:t>
      </w:r>
    </w:p>
    <w:p>
      <w:pPr>
        <w:pStyle w:val="BodyText"/>
      </w:pPr>
      <w:r>
        <w:t xml:space="preserve">这一机制创造了真实的信用——客户的现金流改善，应用得以更敏捷迭代，中转站获得了更高的客户黏性与利息收益（postpaid 价格高于 prepaid）。</w:t>
      </w:r>
      <w:r>
        <w:rPr>
          <w:b/>
        </w:rPr>
        <w:t xml:space="preserve">信用创造是 Token 银行毛利率从 30% 跃迁到 60% 的核心机制</w:t>
      </w:r>
      <w:r>
        <w:t xml:space="preserve">。</w:t>
      </w:r>
    </w:p>
    <w:p>
      <w:pPr>
        <w:pStyle w:val="Heading3"/>
      </w:pPr>
      <w:bookmarkStart w:id="31" w:name="小结"/>
      <w:r>
        <w:t xml:space="preserve">5.5 小结</w:t>
      </w:r>
      <w:bookmarkEnd w:id="31"/>
    </w:p>
    <w:p>
      <w:pPr>
        <w:pStyle w:val="FirstParagraph"/>
      </w:pPr>
      <w:r>
        <w:t xml:space="preserve">四功能映射完成后，命题</w:t>
      </w:r>
      <w:r>
        <w:t xml:space="preserve">“</w:t>
      </w:r>
      <w:r>
        <w:t xml:space="preserve">Token 中转站 = Token 银行</w:t>
      </w:r>
      <w:r>
        <w:t xml:space="preserve">”</w:t>
      </w:r>
      <w:r>
        <w:t xml:space="preserve">不再是隐喻，而是一个结构性恒等式。</w:t>
      </w:r>
      <w:r>
        <w:rPr>
          <w:b/>
        </w:rPr>
        <w:t xml:space="preserve">Token 中转站是不是银行，不取决于它自我定义为什么，而取决于它的运营函数是什么。</w:t>
      </w:r>
    </w:p>
    <w:p>
      <w:pPr>
        <w:pStyle w:val="Heading2"/>
      </w:pPr>
      <w:bookmarkStart w:id="32" w:name="token-银行作为虚拟银行的完整定义"/>
      <w:r>
        <w:t xml:space="preserve">6. Token 银行作为虚拟银行的完整定义</w:t>
      </w:r>
      <w:bookmarkEnd w:id="32"/>
    </w:p>
    <w:p>
      <w:pPr>
        <w:pStyle w:val="Heading3"/>
      </w:pPr>
      <w:bookmarkStart w:id="33" w:name="为什么是虚拟银行"/>
      <w:r>
        <w:t xml:space="preserve">6.1 为什么是</w:t>
      </w:r>
      <w:r>
        <w:t xml:space="preserve">“</w:t>
      </w:r>
      <w:r>
        <w:t xml:space="preserve">虚拟银行</w:t>
      </w:r>
      <w:r>
        <w:t xml:space="preserve">”</w:t>
      </w:r>
      <w:bookmarkEnd w:id="33"/>
    </w:p>
    <w:p>
      <w:pPr>
        <w:pStyle w:val="FirstParagraph"/>
      </w:pPr>
      <w:r>
        <w:t xml:space="preserve">传统银行受地理与法币结算体系约束。Token 银行不存在地理约束（API 是全球同步的），也不必绑定任何单一法币。本文据此将 Token 银行定义为一种</w:t>
      </w:r>
      <w:r>
        <w:rPr>
          <w:b/>
        </w:rPr>
        <w:t xml:space="preserve">虚拟银行（Virtual Bank）</w:t>
      </w:r>
      <w:r>
        <w:t xml:space="preserve">形态——</w:t>
      </w:r>
    </w:p>
    <w:p>
      <w:pPr>
        <w:pStyle w:val="BlockText"/>
      </w:pPr>
      <w:r>
        <w:rPr>
          <w:b/>
        </w:rPr>
        <w:t xml:space="preserve">虚拟银行（Virtual Bank）：一种以可计量数字资产（包括 AI Token 与数字货币）为结算标的、以智能合约或同等可信基础设施为清算层、以全球开发者与企业用户为客户群、提供完整银行四功能（聚合、期限转换、风险池化、信用创造）的金融机构。</w:t>
      </w:r>
    </w:p>
    <w:p>
      <w:pPr>
        <w:pStyle w:val="Heading3"/>
      </w:pPr>
      <w:bookmarkStart w:id="34" w:name="虚拟银行的两个必要业务"/>
      <w:r>
        <w:t xml:space="preserve">6.2 虚拟银行的两个必要业务</w:t>
      </w:r>
      <w:bookmarkEnd w:id="34"/>
    </w:p>
    <w:p>
      <w:pPr>
        <w:pStyle w:val="FirstParagraph"/>
      </w:pPr>
      <w:r>
        <w:t xml:space="preserve">虚拟银行天然包含两类业务，</w:t>
      </w:r>
      <w:r>
        <w:rPr>
          <w:b/>
        </w:rPr>
        <w:t xml:space="preserve">这两类业务不是可选项，是定义性属性</w:t>
      </w:r>
      <w:r>
        <w:t xml:space="preserve">：</w:t>
      </w:r>
    </w:p>
    <w:p>
      <w:pPr>
        <w:pStyle w:val="BodyText"/>
      </w:pPr>
      <w:r>
        <w:rPr>
          <w:b/>
        </w:rPr>
        <w:t xml:space="preserve">(1) 数字货币交易（Digital Currency Settlement）</w:t>
      </w:r>
      <w:r>
        <w:t xml:space="preserve"> </w:t>
      </w:r>
      <w:r>
        <w:t xml:space="preserve">Token 的全球流通必须以无国界、低摩擦、可编程的结算媒介承载。</w:t>
      </w:r>
      <w:r>
        <w:rPr>
          <w:b/>
        </w:rPr>
        <w:t xml:space="preserve">法币结算路径（信用卡、电汇、PayPal）的速度、成本、覆盖率均无法满足 AI 算力市场的实时性需求</w:t>
      </w:r>
      <w:r>
        <w:t xml:space="preserve">。稳定币（USDC、USDT 等）以及合规化的链上数字货币是唯一可行的结算层。Token 银行因此必然以数字货币为主结算货币，这意味着 Token 银行的标准业务集天然包括：法币 ↔ 数字货币兑换、链上钱包对接、跨链结算、数字货币做市。</w:t>
      </w:r>
    </w:p>
    <w:p>
      <w:pPr>
        <w:pStyle w:val="BodyText"/>
      </w:pPr>
      <w:r>
        <w:rPr>
          <w:b/>
        </w:rPr>
        <w:t xml:space="preserve">(2) Token 抵押购买（Collateralized Token Purchase）</w:t>
      </w:r>
      <w:r>
        <w:t xml:space="preserve"> </w:t>
      </w:r>
      <w:r>
        <w:t xml:space="preserve">当用户希望以信用方式获取大额 token 额度时，Token 银行可接受其持有的数字资产（稳定币、主流加密资产）作为抵押物，按抵押率发放 token 信用额度。这一机制等价于传统银行的</w:t>
      </w:r>
      <w:r>
        <w:t xml:space="preserve">“</w:t>
      </w:r>
      <w:r>
        <w:t xml:space="preserve">抵押贷款</w:t>
      </w:r>
      <w:r>
        <w:t xml:space="preserve">”</w:t>
      </w:r>
      <w:r>
        <w:t xml:space="preserve">——只不过抵押物是数字资产，贷出标的是 AI Token。</w:t>
      </w:r>
      <w:r>
        <w:rPr>
          <w:b/>
        </w:rPr>
        <w:t xml:space="preserve">这是 Token 银行不同于传统银行的独有金融产品形态：算力借贷</w:t>
      </w:r>
      <w:r>
        <w:t xml:space="preserve">（Compute Lending）。</w:t>
      </w:r>
    </w:p>
    <w:p>
      <w:pPr>
        <w:pStyle w:val="Heading3"/>
      </w:pPr>
      <w:bookmarkStart w:id="35" w:name="虚拟银行三层结构"/>
      <w:r>
        <w:t xml:space="preserve">6.3 虚拟银行三层结构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资产层</w:t>
            </w:r>
          </w:p>
        </w:tc>
        <w:tc>
          <w:p>
            <w:pPr>
              <w:pStyle w:val="Compact"/>
              <w:jc w:val="left"/>
            </w:pPr>
            <w:r>
              <w:t xml:space="preserve">AI Token 池、数字货币储备、抵押物管理</w:t>
            </w:r>
          </w:p>
        </w:tc>
        <w:tc>
          <w:p>
            <w:pPr>
              <w:pStyle w:val="Compact"/>
              <w:jc w:val="left"/>
            </w:pPr>
            <w:r>
              <w:t xml:space="preserve">银行的资产负债表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清算层</w:t>
            </w:r>
          </w:p>
        </w:tc>
        <w:tc>
          <w:p>
            <w:pPr>
              <w:pStyle w:val="Compact"/>
              <w:jc w:val="left"/>
            </w:pPr>
            <w:r>
              <w:t xml:space="preserve">链上结算、对账、智能合约自动执行</w:t>
            </w:r>
          </w:p>
        </w:tc>
        <w:tc>
          <w:p>
            <w:pPr>
              <w:pStyle w:val="Compact"/>
              <w:jc w:val="left"/>
            </w:pPr>
            <w:r>
              <w:t xml:space="preserve">传统银行的核心系统 + 清算所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业务层</w:t>
            </w:r>
          </w:p>
        </w:tc>
        <w:tc>
          <w:p>
            <w:pPr>
              <w:pStyle w:val="Compact"/>
              <w:jc w:val="left"/>
            </w:pPr>
            <w:r>
              <w:t xml:space="preserve">充值、调用、信贷、衍生品、保险</w:t>
            </w:r>
          </w:p>
        </w:tc>
        <w:tc>
          <w:p>
            <w:pPr>
              <w:pStyle w:val="Compact"/>
              <w:jc w:val="left"/>
            </w:pPr>
            <w:r>
              <w:t xml:space="preserve">银行零售 + 投行 + 资管</w:t>
            </w:r>
          </w:p>
        </w:tc>
      </w:tr>
    </w:tbl>
    <w:p>
      <w:pPr>
        <w:pStyle w:val="BodyText"/>
      </w:pPr>
      <w:r>
        <w:rPr>
          <w:b/>
        </w:rPr>
        <w:t xml:space="preserve">这一三层结构是任何想做大的 Token 银行的最小可行架构（MVA）</w:t>
      </w:r>
      <w:r>
        <w:t xml:space="preserve">。三层缺一，则结构不完整、护城河不成立。</w:t>
      </w:r>
    </w:p>
    <w:p>
      <w:pPr>
        <w:pStyle w:val="Heading2"/>
      </w:pPr>
      <w:bookmarkStart w:id="36" w:name="六大金融产品矩阵"/>
      <w:r>
        <w:t xml:space="preserve">7. 六大金融产品矩阵</w:t>
      </w:r>
      <w:bookmarkEnd w:id="36"/>
    </w:p>
    <w:p>
      <w:pPr>
        <w:pStyle w:val="FirstParagraph"/>
      </w:pPr>
      <w:r>
        <w:t xml:space="preserve">在 Token 银行的定义之上，可以系统性派生出一个金融产品矩阵。本文按业务难度与创新强度递进排列：</w:t>
      </w:r>
    </w:p>
    <w:p>
      <w:pPr>
        <w:pStyle w:val="BodyText"/>
      </w:pPr>
      <w:r>
        <w:rPr>
          <w:b/>
        </w:rPr>
        <w:t xml:space="preserve">(1) Token 利差套利（Spread Banking）</w:t>
      </w:r>
      <w:r>
        <w:t xml:space="preserve"> </w:t>
      </w:r>
      <w:r>
        <w:t xml:space="preserve">基于上游承诺用量折扣 vs 下游零售价的稳定利差。</w:t>
      </w:r>
      <w:r>
        <w:rPr>
          <w:b/>
        </w:rPr>
        <w:t xml:space="preserve">这是 Token 银行的现金流引擎</w:t>
      </w:r>
      <w:r>
        <w:t xml:space="preserve">，技术门槛最低，但规模门槛极高（议价权与体量正相关）。</w:t>
      </w:r>
    </w:p>
    <w:p>
      <w:pPr>
        <w:pStyle w:val="BodyText"/>
      </w:pPr>
      <w:r>
        <w:rPr>
          <w:b/>
        </w:rPr>
        <w:t xml:space="preserve">(2) 智能路由套利（Smart Routing Arbitrage）</w:t>
      </w:r>
      <w:r>
        <w:t xml:space="preserve"> </w:t>
      </w:r>
      <w:r>
        <w:t xml:space="preserve">同一请求由路由系统选择</w:t>
      </w:r>
      <w:r>
        <w:t xml:space="preserve">“</w:t>
      </w:r>
      <w:r>
        <w:t xml:space="preserve">在保证质量的前提下最便宜的模型</w:t>
      </w:r>
      <w:r>
        <w:t xml:space="preserve">”</w:t>
      </w:r>
      <w:r>
        <w:t xml:space="preserve">完成。例如分类任务可由 Haiku 而非 Opus 完成，单位成本可降至 1/15。</w:t>
      </w:r>
      <w:r>
        <w:rPr>
          <w:b/>
        </w:rPr>
        <w:t xml:space="preserve">用户支付服务质量价，中转站支付实际成本价，差额为纯算法红利</w:t>
      </w:r>
      <w:r>
        <w:t xml:space="preserve">。这一产品具有自我强化的护城河——数据越多，路由越准；路由越准，成本越低；成本越低，规模越大。</w:t>
      </w:r>
    </w:p>
    <w:p>
      <w:pPr>
        <w:pStyle w:val="BodyText"/>
      </w:pPr>
      <w:r>
        <w:rPr>
          <w:b/>
        </w:rPr>
        <w:t xml:space="preserve">(3) Token 期货 / 远期合约（Token Futures）</w:t>
      </w:r>
      <w:r>
        <w:t xml:space="preserve"> </w:t>
      </w:r>
      <w:r>
        <w:t xml:space="preserve">针对企业用户大规模锁价需求：客户提前 6–12 个月以固定价锁定 N 亿 token 使用权，Token 银行用部分资金向上游对冲承诺额度，其余资金做短期投资。</w:t>
      </w:r>
      <w:r>
        <w:rPr>
          <w:b/>
        </w:rPr>
        <w:t xml:space="preserve">Token 由此从一种</w:t>
      </w:r>
      <w:r>
        <w:rPr>
          <w:b/>
        </w:rPr>
        <w:t xml:space="preserve">“</w:t>
      </w:r>
      <w:r>
        <w:rPr>
          <w:b/>
        </w:rPr>
        <w:t xml:space="preserve">消费品</w:t>
      </w:r>
      <w:r>
        <w:rPr>
          <w:b/>
        </w:rPr>
        <w:t xml:space="preserve">”</w:t>
      </w:r>
      <w:r>
        <w:rPr>
          <w:b/>
        </w:rPr>
        <w:t xml:space="preserve">升级为一种</w:t>
      </w:r>
      <w:r>
        <w:rPr>
          <w:b/>
        </w:rPr>
        <w:t xml:space="preserve">“</w:t>
      </w:r>
      <w:r>
        <w:rPr>
          <w:b/>
        </w:rPr>
        <w:t xml:space="preserve">可对冲的大宗商品</w:t>
      </w:r>
      <w:r>
        <w:rPr>
          <w:b/>
        </w:rP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(4) Token 信用透支（Token Credit Line）</w:t>
      </w:r>
      <w:r>
        <w:t xml:space="preserve"> </w:t>
      </w:r>
      <w:r>
        <w:t xml:space="preserve">基于客户调用历史与信用画像，提供</w:t>
      </w:r>
      <w:r>
        <w:t xml:space="preserve">“</w:t>
      </w:r>
      <w:r>
        <w:t xml:space="preserve">先用后付</w:t>
      </w:r>
      <w:r>
        <w:t xml:space="preserve">”</w:t>
      </w:r>
      <w:r>
        <w:t xml:space="preserve">额度。</w:t>
      </w:r>
      <w:r>
        <w:rPr>
          <w:b/>
        </w:rPr>
        <w:t xml:space="preserve">API Key 即抵押物</w:t>
      </w:r>
      <w:r>
        <w:t xml:space="preserve">——一旦欠款，停 key 即可。坏账率显著低于传统中小企业贷款。</w:t>
      </w:r>
    </w:p>
    <w:p>
      <w:pPr>
        <w:pStyle w:val="BodyText"/>
      </w:pPr>
      <w:r>
        <w:rPr>
          <w:b/>
        </w:rPr>
        <w:t xml:space="preserve">(5) Token 收益凭证 / 算力 ETF（Token Yield Note）</w:t>
      </w:r>
      <w:r>
        <w:t xml:space="preserve"> </w:t>
      </w:r>
      <w:r>
        <w:t xml:space="preserve">Token 银行将</w:t>
      </w:r>
      <w:r>
        <w:t xml:space="preserve">“</w:t>
      </w:r>
      <w:r>
        <w:t xml:space="preserve">批量采购 + 智能路由</w:t>
      </w:r>
      <w:r>
        <w:t xml:space="preserve">”</w:t>
      </w:r>
      <w:r>
        <w:t xml:space="preserve">的能力打包为一种收益凭证。机构与高净值用户可买入凭证，由 Token 银行统一调度与卖出，</w:t>
      </w:r>
      <w:r>
        <w:rPr>
          <w:b/>
        </w:rPr>
        <w:t xml:space="preserve">给凭证持有人 8%–15% 年化算力收益</w:t>
      </w:r>
      <w:r>
        <w:t xml:space="preserve">。这是把算力市场资金化的核心入口，也是 Token 银行进入资管业务的关键产品。</w:t>
      </w:r>
    </w:p>
    <w:p>
      <w:pPr>
        <w:pStyle w:val="BodyText"/>
      </w:pPr>
      <w:r>
        <w:rPr>
          <w:b/>
        </w:rPr>
        <w:t xml:space="preserve">(6) Token SLA 保险（Token Insurance）</w:t>
      </w:r>
      <w:r>
        <w:t xml:space="preserve"> </w:t>
      </w:r>
      <w:r>
        <w:t xml:space="preserve">针对企业客户对模型断供、限流、价格暴涨的担忧，Token 银行可销售 SLA 保险产品。</w:t>
      </w:r>
      <w:r>
        <w:rPr>
          <w:b/>
        </w:rPr>
        <w:t xml:space="preserve">保费即纯利润</w:t>
      </w:r>
      <w:r>
        <w:t xml:space="preserve">——因为 Token 银行本身就是冗余调度方，赔付概率被自身的路由系统压到极低。</w:t>
      </w:r>
    </w:p>
    <w:p>
      <w:pPr>
        <w:pStyle w:val="BodyText"/>
      </w:pPr>
      <w:r>
        <w:t xml:space="preserve">这六类产品在传统银行业有同位映射：(1)→ 存贷利差；(2)→ 自营交易；(3)→ 衍生品做市；(4)→ 零售信贷；(5)→ 资管 / ETF；(6)→ 保险与 SLA 互换。</w:t>
      </w:r>
      <w:r>
        <w:rPr>
          <w:b/>
        </w:rPr>
        <w:t xml:space="preserve">Token 银行的产品复杂度，与一家中型综合金融机构等同</w:t>
      </w:r>
      <w:r>
        <w:t xml:space="preserve">。</w:t>
      </w:r>
    </w:p>
    <w:p>
      <w:pPr>
        <w:pStyle w:val="Heading2"/>
      </w:pPr>
      <w:bookmarkStart w:id="37" w:name="opc-架构开放平台与清算所"/>
      <w:r>
        <w:t xml:space="preserve">8. OPC 架构：开放平台与清算所</w:t>
      </w:r>
      <w:bookmarkEnd w:id="37"/>
    </w:p>
    <w:p>
      <w:pPr>
        <w:pStyle w:val="FirstParagraph"/>
      </w:pPr>
      <w:r>
        <w:t xml:space="preserve">Token 银行长大后必然成为一个</w:t>
      </w:r>
      <w:r>
        <w:rPr>
          <w:b/>
        </w:rPr>
        <w:t xml:space="preserve">开放平台与清算所</w:t>
      </w:r>
      <w:r>
        <w:t xml:space="preserve">（Open Platform &amp; Clearinghouse, OPC）。这一形态的工程实现包含五层：</w:t>
      </w:r>
    </w:p>
    <w:p>
      <w:pPr>
        <w:pStyle w:val="BodyText"/>
      </w:pPr>
      <w:r>
        <w:rPr>
          <w:b/>
        </w:rPr>
        <w:t xml:space="preserve">L0 — 链上结算底座（Settlement Substrate）</w:t>
      </w:r>
      <w:r>
        <w:t xml:space="preserve"> </w:t>
      </w:r>
      <w:r>
        <w:t xml:space="preserve">高 TPS 公链 + 状态通道 + 智能合约（PaymentChannel + MeteringOracle + EscrowVault）。所有 token 调用产生可验证用量回执（verifiable usage receipt），批量上链。</w:t>
      </w:r>
    </w:p>
    <w:p>
      <w:pPr>
        <w:pStyle w:val="BodyText"/>
      </w:pPr>
      <w:r>
        <w:rPr>
          <w:b/>
        </w:rPr>
        <w:t xml:space="preserve">L1 — 多模型接入层（Model Router）</w:t>
      </w:r>
      <w:r>
        <w:t xml:space="preserve"> </w:t>
      </w:r>
      <w:r>
        <w:t xml:space="preserve">统一 API 抽象（事实标准为 OpenAI 兼容协议），后端对接所有主流商业模型与开源模型。</w:t>
      </w:r>
    </w:p>
    <w:p>
      <w:pPr>
        <w:pStyle w:val="BodyText"/>
      </w:pPr>
      <w:r>
        <w:rPr>
          <w:b/>
        </w:rPr>
        <w:t xml:space="preserve">L2 — 智能调度与套利层（Arbitrage Engine）</w:t>
      </w:r>
      <w:r>
        <w:t xml:space="preserve"> </w:t>
      </w:r>
      <w:r>
        <w:t xml:space="preserve">任务分类器、影子打分、实时路由、语义缓存。</w:t>
      </w:r>
      <w:r>
        <w:rPr>
          <w:b/>
        </w:rPr>
        <w:t xml:space="preserve">核心利润中心</w:t>
      </w:r>
      <w:r>
        <w:t xml:space="preserve">。</w:t>
      </w:r>
    </w:p>
    <w:p>
      <w:pPr>
        <w:pStyle w:val="BodyText"/>
      </w:pPr>
      <w:r>
        <w:rPr>
          <w:b/>
        </w:rPr>
        <w:t xml:space="preserve">L3 — Token 银行与金融产品层</w:t>
      </w:r>
      <w:r>
        <w:t xml:space="preserve"> </w:t>
      </w:r>
      <w:r>
        <w:t xml:space="preserve">六大金融产品的合约与产品逻辑。</w:t>
      </w:r>
    </w:p>
    <w:p>
      <w:pPr>
        <w:pStyle w:val="BodyText"/>
      </w:pPr>
      <w:r>
        <w:rPr>
          <w:b/>
        </w:rPr>
        <w:t xml:space="preserve">L4 — 用户/开发者门户</w:t>
      </w:r>
      <w:r>
        <w:t xml:space="preserve"> </w:t>
      </w:r>
      <w:r>
        <w:t xml:space="preserve">SDK、Dashboard、链上 + 托管钱包、KYC（合规可选）。</w:t>
      </w:r>
    </w:p>
    <w:p>
      <w:pPr>
        <w:pStyle w:val="BodyText"/>
      </w:pPr>
      <w:r>
        <w:rPr>
          <w:b/>
        </w:rPr>
        <w:t xml:space="preserve">OPC 的真正资产是 L0 + L2 沉淀的</w:t>
      </w:r>
      <w:r>
        <w:rPr>
          <w:b/>
        </w:rPr>
        <w:t xml:space="preserve">“</w:t>
      </w:r>
      <w:r>
        <w:rPr>
          <w:b/>
        </w:rPr>
        <w:t xml:space="preserve">全模型 × 全任务 × 全价格</w:t>
      </w:r>
      <w:r>
        <w:rPr>
          <w:b/>
        </w:rPr>
        <w:t xml:space="preserve">”</w:t>
      </w:r>
      <w:r>
        <w:rPr>
          <w:b/>
        </w:rPr>
        <w:t xml:space="preserve">实时数据矩阵</w:t>
      </w:r>
      <w:r>
        <w:t xml:space="preserve">——这是 AI 算力真实成本曲线的唯一可信观察源。</w:t>
      </w:r>
      <w:r>
        <w:rPr>
          <w:b/>
        </w:rPr>
        <w:t xml:space="preserve">这一数据资产是 Token 银行的终极护城河</w:t>
      </w:r>
      <w:r>
        <w:t xml:space="preserve">。</w:t>
      </w:r>
    </w:p>
    <w:p>
      <w:pPr>
        <w:pStyle w:val="Heading2"/>
      </w:pPr>
      <w:bookmarkStart w:id="38" w:name="与-github-聚合模式的结构性对比"/>
      <w:r>
        <w:t xml:space="preserve">9. 与 GitHub 聚合模式的结构性对比</w:t>
      </w:r>
      <w:bookmarkEnd w:id="38"/>
    </w:p>
    <w:p>
      <w:pPr>
        <w:pStyle w:val="FirstParagraph"/>
      </w:pPr>
      <w:r>
        <w:t xml:space="preserve">为正确定位 Token 银行的产业意义，必须将其与最常被类比的</w:t>
      </w:r>
      <w:r>
        <w:t xml:space="preserve">“</w:t>
      </w:r>
      <w:r>
        <w:t xml:space="preserve">GitHub 聚合模式</w:t>
      </w:r>
      <w:r>
        <w:t xml:space="preserve">”</w:t>
      </w:r>
      <w:r>
        <w:t xml:space="preserve">做结构性区分。下表是关键维度的并置：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 聚合模式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 银行（Token 中转站）模式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聚合对象</w:t>
            </w:r>
          </w:p>
        </w:tc>
        <w:tc>
          <w:p>
            <w:pPr>
              <w:pStyle w:val="Compact"/>
              <w:jc w:val="left"/>
            </w:pPr>
            <w:r>
              <w:t xml:space="preserve">静态代码资产（存量）</w:t>
            </w:r>
          </w:p>
        </w:tc>
        <w:tc>
          <w:p>
            <w:pPr>
              <w:pStyle w:val="Compact"/>
              <w:jc w:val="left"/>
            </w:pPr>
            <w:r>
              <w:t xml:space="preserve">动态算力调用（流量）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时间属性</w:t>
            </w:r>
          </w:p>
        </w:tc>
        <w:tc>
          <w:p>
            <w:pPr>
              <w:pStyle w:val="Compact"/>
              <w:jc w:val="left"/>
            </w:pPr>
            <w:r>
              <w:t xml:space="preserve">一次上传，无限读取</w:t>
            </w:r>
          </w:p>
        </w:tc>
        <w:tc>
          <w:p>
            <w:pPr>
              <w:pStyle w:val="Compact"/>
              <w:jc w:val="left"/>
            </w:pPr>
            <w:r>
              <w:t xml:space="preserve">一次调用，立即消耗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价值密度</w:t>
            </w:r>
          </w:p>
        </w:tc>
        <w:tc>
          <w:p>
            <w:pPr>
              <w:pStyle w:val="Compact"/>
              <w:jc w:val="left"/>
            </w:pPr>
            <w:r>
              <w:t xml:space="preserve">长尾 + 网络效应</w:t>
            </w:r>
          </w:p>
        </w:tc>
        <w:tc>
          <w:p>
            <w:pPr>
              <w:pStyle w:val="Compact"/>
              <w:jc w:val="left"/>
            </w:pPr>
            <w:r>
              <w:t xml:space="preserve">即时性 + 单位成本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主要成本</w:t>
            </w:r>
          </w:p>
        </w:tc>
        <w:tc>
          <w:p>
            <w:pPr>
              <w:pStyle w:val="Compact"/>
              <w:jc w:val="left"/>
            </w:pPr>
            <w:r>
              <w:t xml:space="preserve">存储 + 带宽（极低边际成本）</w:t>
            </w:r>
          </w:p>
        </w:tc>
        <w:tc>
          <w:p>
            <w:pPr>
              <w:pStyle w:val="Compact"/>
              <w:jc w:val="left"/>
            </w:pPr>
            <w:r>
              <w:t xml:space="preserve">上游 API 采购（极高边际成本）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毛利结构</w:t>
            </w:r>
          </w:p>
        </w:tc>
        <w:tc>
          <w:p>
            <w:pPr>
              <w:pStyle w:val="Compact"/>
              <w:jc w:val="left"/>
            </w:pPr>
            <w:r>
              <w:t xml:space="preserve">接近 SaaS（80%+）</w:t>
            </w:r>
          </w:p>
        </w:tc>
        <w:tc>
          <w:p>
            <w:pPr>
              <w:pStyle w:val="Compact"/>
              <w:jc w:val="left"/>
            </w:pPr>
            <w:r>
              <w:t xml:space="preserve">接近商品（10%–60%，靠路由 + 金融拉高）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网络效应</w:t>
            </w:r>
          </w:p>
        </w:tc>
        <w:tc>
          <w:p>
            <w:pPr>
              <w:pStyle w:val="Compact"/>
              <w:jc w:val="left"/>
            </w:pPr>
            <w:r>
              <w:t xml:space="preserve">代码 → 开发者 → 更多代码（社区飞轮）</w:t>
            </w:r>
          </w:p>
        </w:tc>
        <w:tc>
          <w:p>
            <w:pPr>
              <w:pStyle w:val="Compact"/>
              <w:jc w:val="left"/>
            </w:pPr>
            <w:r>
              <w:t xml:space="preserve">流量 → 数据 → 路由优化 → 更低成本（成本飞轮）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锁定机制</w:t>
            </w:r>
          </w:p>
        </w:tc>
        <w:tc>
          <w:p>
            <w:pPr>
              <w:pStyle w:val="Compact"/>
              <w:jc w:val="left"/>
            </w:pPr>
            <w:r>
              <w:t xml:space="preserve">迁移成本（git history、PR、Issue）</w:t>
            </w:r>
          </w:p>
        </w:tc>
        <w:tc>
          <w:p>
            <w:pPr>
              <w:pStyle w:val="Compact"/>
              <w:jc w:val="left"/>
            </w:pPr>
            <w:r>
              <w:t xml:space="preserve">集成成本（API 已嵌入业务流程）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货币化主路径</w:t>
            </w:r>
          </w:p>
        </w:tc>
        <w:tc>
          <w:p>
            <w:pPr>
              <w:pStyle w:val="Compact"/>
              <w:jc w:val="left"/>
            </w:pPr>
            <w:r>
              <w:t xml:space="preserve">订阅 + 增值服务</w:t>
            </w:r>
          </w:p>
        </w:tc>
        <w:tc>
          <w:p>
            <w:pPr>
              <w:pStyle w:val="Compact"/>
              <w:jc w:val="left"/>
            </w:pPr>
            <w:r>
              <w:t xml:space="preserve">价差 + 金融衍生品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数据资产</w:t>
            </w:r>
          </w:p>
        </w:tc>
        <w:tc>
          <w:p>
            <w:pPr>
              <w:pStyle w:val="Compact"/>
              <w:jc w:val="left"/>
            </w:pPr>
            <w:r>
              <w:t xml:space="preserve">代码语料</w:t>
            </w:r>
          </w:p>
        </w:tc>
        <w:tc>
          <w:p>
            <w:pPr>
              <w:pStyle w:val="Compact"/>
              <w:jc w:val="left"/>
            </w:pPr>
            <w:r>
              <w:t xml:space="preserve">实时算力成本矩阵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监管面</w:t>
            </w:r>
          </w:p>
        </w:tc>
        <w:tc>
          <w:p>
            <w:pPr>
              <w:pStyle w:val="Compact"/>
              <w:jc w:val="left"/>
            </w:pPr>
            <w:r>
              <w:t xml:space="preserve">IP / 开源协议 / 出口管制</w:t>
            </w:r>
          </w:p>
        </w:tc>
        <w:tc>
          <w:p>
            <w:pPr>
              <w:pStyle w:val="Compact"/>
              <w:jc w:val="left"/>
            </w:pPr>
            <w:r>
              <w:t xml:space="preserve">金融牌照 / 反洗钱 / 跨境支付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产业类比</w:t>
            </w:r>
          </w:p>
        </w:tc>
        <w:tc>
          <w:p>
            <w:pPr>
              <w:pStyle w:val="Compact"/>
              <w:jc w:val="left"/>
            </w:pPr>
            <w:r>
              <w:t xml:space="preserve">图书馆 + 出版社</w:t>
            </w:r>
          </w:p>
        </w:tc>
        <w:tc>
          <w:p>
            <w:pPr>
              <w:pStyle w:val="Compact"/>
              <w:jc w:val="left"/>
            </w:pPr>
            <w:r>
              <w:t xml:space="preserve">电网 + 银行 + 大宗商品交易所</w:t>
            </w:r>
          </w:p>
        </w:tc>
      </w:tr>
    </w:tbl>
    <w:p>
      <w:pPr>
        <w:pStyle w:val="BodyText"/>
      </w:pPr>
      <w:r>
        <w:rPr>
          <w:b/>
        </w:rPr>
        <w:t xml:space="preserve">两者最深层的差异在飞轮速度</w:t>
      </w:r>
      <w:r>
        <w:t xml:space="preserve">：GitHub 飞轮慢但稳；Token 银行飞轮快但易碎。GitHub 用 15 年构筑社区资产；Token 银行的最优路由策略 6 个月即可被推翻。这一差异决定了两类组织截然不同的运营节奏与战略选择。</w:t>
      </w:r>
    </w:p>
    <w:p>
      <w:pPr>
        <w:pStyle w:val="Heading2"/>
      </w:pPr>
      <w:bookmarkStart w:id="39" w:name="实施考量与系统性风险"/>
      <w:r>
        <w:t xml:space="preserve">10. 实施考量与系统性风险</w:t>
      </w:r>
      <w:bookmarkEnd w:id="39"/>
    </w:p>
    <w:p>
      <w:pPr>
        <w:pStyle w:val="FirstParagraph"/>
      </w:pPr>
      <w:r>
        <w:t xml:space="preserve">Token 银行的崛起伴随四类系统性风险，本节对每一类作简要标注：</w:t>
      </w:r>
    </w:p>
    <w:p>
      <w:pPr>
        <w:pStyle w:val="BodyText"/>
      </w:pPr>
      <w:r>
        <w:rPr>
          <w:b/>
        </w:rPr>
        <w:t xml:space="preserve">(1) 监管风险</w:t>
      </w:r>
      <w:r>
        <w:t xml:space="preserve"> </w:t>
      </w:r>
      <w:r>
        <w:t xml:space="preserve">跨境数字货币结算、信用透支、衍生品发行——这些业务在多数司法辖区均落入金融监管范围。Token 银行的合规路径不能等同于</w:t>
      </w:r>
      <w:r>
        <w:t xml:space="preserve">“</w:t>
      </w:r>
      <w:r>
        <w:t xml:space="preserve">互联网产品</w:t>
      </w:r>
      <w:r>
        <w:t xml:space="preserve">”</w:t>
      </w:r>
      <w:r>
        <w:t xml:space="preserve">，必须从一开始引入金融牌照路径与反洗钱框架。</w:t>
      </w:r>
    </w:p>
    <w:p>
      <w:pPr>
        <w:pStyle w:val="BodyText"/>
      </w:pPr>
      <w:r>
        <w:rPr>
          <w:b/>
        </w:rPr>
        <w:t xml:space="preserve">(2) 上游依赖风险</w:t>
      </w:r>
      <w:r>
        <w:t xml:space="preserve"> </w:t>
      </w:r>
      <w:r>
        <w:t xml:space="preserve">模型厂商可能直接绕开中转站建立自己的零售渠道，或单方面修改商业条款。</w:t>
      </w:r>
      <w:r>
        <w:rPr>
          <w:b/>
        </w:rPr>
        <w:t xml:space="preserve">多上游分散 + 自有微调模型 + 国产开源模型纵深</w:t>
      </w:r>
      <w:r>
        <w:t xml:space="preserve">是必要的对冲。</w:t>
      </w:r>
    </w:p>
    <w:p>
      <w:pPr>
        <w:pStyle w:val="BodyText"/>
      </w:pPr>
      <w:r>
        <w:rPr>
          <w:b/>
        </w:rPr>
        <w:t xml:space="preserve">(3) 技术过时风险</w:t>
      </w:r>
      <w:r>
        <w:t xml:space="preserve"> </w:t>
      </w:r>
      <w:r>
        <w:t xml:space="preserve">一次重大的算力效率突破（如 MoE、稀疏化、新型推理芯片）可能瞬间改变成本结构，使得既有的智能路由策略失效。Token 银行必须保持算法迭代速度。</w:t>
      </w:r>
    </w:p>
    <w:p>
      <w:pPr>
        <w:pStyle w:val="BodyText"/>
      </w:pPr>
      <w:r>
        <w:rPr>
          <w:b/>
        </w:rPr>
        <w:t xml:space="preserve">(4) 信用风险</w:t>
      </w:r>
      <w:r>
        <w:t xml:space="preserve"> </w:t>
      </w:r>
      <w:r>
        <w:t xml:space="preserve">信用透支与 Token 期货均带有信用敞口。坏账率管理与对手方风控必须配套，否则规模越大风险越大。</w:t>
      </w:r>
    </w:p>
    <w:p>
      <w:pPr>
        <w:pStyle w:val="BodyText"/>
      </w:pPr>
      <w:r>
        <w:t xml:space="preserve">四类风险中，</w:t>
      </w:r>
      <w:r>
        <w:rPr>
          <w:b/>
        </w:rPr>
        <w:t xml:space="preserve">监管风险是最易被低估的</w:t>
      </w:r>
      <w:r>
        <w:t xml:space="preserve">——因为 Token 银行的金融实质足够强，监管机构迟早会注意到这一新业态。先发企业应主动与监管沟通，争取建立</w:t>
      </w:r>
      <w:r>
        <w:t xml:space="preserve">“</w:t>
      </w:r>
      <w:r>
        <w:t xml:space="preserve">AI 算力金融</w:t>
      </w:r>
      <w:r>
        <w:t xml:space="preserve">”</w:t>
      </w:r>
      <w:r>
        <w:t xml:space="preserve">这一新监管类目下的有利地位。</w:t>
      </w:r>
    </w:p>
    <w:p>
      <w:pPr>
        <w:pStyle w:val="Heading2"/>
      </w:pPr>
      <w:bookmarkStart w:id="40" w:name="结论"/>
      <w:r>
        <w:t xml:space="preserve">11. 结论</w:t>
      </w:r>
      <w:bookmarkEnd w:id="40"/>
    </w:p>
    <w:p>
      <w:pPr>
        <w:pStyle w:val="FirstParagraph"/>
      </w:pPr>
      <w:r>
        <w:t xml:space="preserve">本文论证了一个独立提出的理论命题：</w:t>
      </w:r>
      <w:r>
        <w:rPr>
          <w:b/>
        </w:rPr>
        <w:t xml:space="preserve">AI Token 中转站本质上是一种 Token 银行</w:t>
      </w:r>
      <w:r>
        <w:t xml:space="preserve">。这一命题不是营销隐喻，而是基于功能映射的结构性等价：Token 中转站完整复刻了商业银行的四大核心功能——聚合、期限转换、风险池化、信用创造——并在此基础上派生出涵盖利差、自营、衍生品、信贷、资管、保险的完整金融产品矩阵。</w:t>
      </w:r>
    </w:p>
    <w:p>
      <w:pPr>
        <w:pStyle w:val="BodyText"/>
      </w:pPr>
      <w:r>
        <w:t xml:space="preserve">Token 银行作为一种新型</w:t>
      </w:r>
      <w:r>
        <w:rPr>
          <w:b/>
        </w:rPr>
        <w:t xml:space="preserve">虚拟银行</w:t>
      </w:r>
      <w:r>
        <w:t xml:space="preserve">形态，天然以数字货币为主结算媒介，并提供 Token 抵押购买等独有金融产品。其工程实现形态为</w:t>
      </w:r>
      <w:r>
        <w:rPr>
          <w:b/>
        </w:rPr>
        <w:t xml:space="preserve">开放平台与清算所（OPC）</w:t>
      </w:r>
      <w:r>
        <w:t xml:space="preserve">，其终极护城河为</w:t>
      </w:r>
      <w:r>
        <w:t xml:space="preserve">“</w:t>
      </w:r>
      <w:r>
        <w:t xml:space="preserve">全模型 × 全任务 × 全价格</w:t>
      </w:r>
      <w:r>
        <w:t xml:space="preserve">”</w:t>
      </w:r>
      <w:r>
        <w:t xml:space="preserve">的实时数据矩阵。</w:t>
      </w:r>
    </w:p>
    <w:p>
      <w:pPr>
        <w:pStyle w:val="BodyText"/>
      </w:pPr>
      <w:r>
        <w:t xml:space="preserve">理解这一命题的产业意义在于：</w:t>
      </w:r>
      <w:r>
        <w:rPr>
          <w:b/>
        </w:rPr>
        <w:t xml:space="preserve">当前市场上自我定位为</w:t>
      </w:r>
      <w:r>
        <w:rPr>
          <w:b/>
        </w:rPr>
        <w:t xml:space="preserve">“</w:t>
      </w:r>
      <w:r>
        <w:rPr>
          <w:b/>
        </w:rPr>
        <w:t xml:space="preserve">API 网关</w:t>
      </w:r>
      <w:r>
        <w:rPr>
          <w:b/>
        </w:rPr>
        <w:t xml:space="preserve">”</w:t>
      </w:r>
      <w:r>
        <w:rPr>
          <w:b/>
        </w:rPr>
        <w:t xml:space="preserve">或</w:t>
      </w:r>
      <w:r>
        <w:rPr>
          <w:b/>
        </w:rPr>
        <w:t xml:space="preserve">“</w:t>
      </w:r>
      <w:r>
        <w:rPr>
          <w:b/>
        </w:rPr>
        <w:t xml:space="preserve">API 聚合器</w:t>
      </w:r>
      <w:r>
        <w:rPr>
          <w:b/>
        </w:rPr>
        <w:t xml:space="preserve">”</w:t>
      </w:r>
      <w:r>
        <w:rPr>
          <w:b/>
        </w:rPr>
        <w:t xml:space="preserve">的中转站，绝大多数严重低估了自身可达成的商业天花板</w:t>
      </w:r>
      <w:r>
        <w:t xml:space="preserve">。从经销商视角看，这是一门 10% 毛利的渠道生意；从 Token 银行视角看，这是一门 50% 以上毛利、并随 AI 渗透率指数级放大的金融生意。</w:t>
      </w:r>
    </w:p>
    <w:p>
      <w:pPr>
        <w:pStyle w:val="BodyText"/>
      </w:pPr>
      <w:r>
        <w:t xml:space="preserve">未来研究方向至少包括：(a) Token 银行的最优监管沙盒模式；(b) 跨链 Token 清算协议的统一化；(c) 算力衍生品的定价模型；(d) Token 银行间的同业拆借与再保险机制。本文不展开。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致谢"/>
      <w:r>
        <w:t xml:space="preserve">致谢</w:t>
      </w:r>
      <w:bookmarkEnd w:id="41"/>
    </w:p>
    <w:p>
      <w:pPr>
        <w:pStyle w:val="FirstParagraph"/>
      </w:pPr>
      <w:r>
        <w:t xml:space="preserve">感谢全球 AI 算力市场的研究者、从业者与早期建设者对本文写作过程的间接启发。本文在公开信息层面与现有 AI×加密、Token 经济、算力金融等议题讨论形成对话关系；本文所主张的核心命题——「Token 中转站即 Token 银行」——以及银行四功能映射、虚拟银行定义、六大金融产品矩阵这一整套合成框架，</w:t>
      </w:r>
      <w:r>
        <w:rPr>
          <w:b/>
        </w:rPr>
        <w:t xml:space="preserve">为本文作者的独立原创立意</w:t>
      </w:r>
      <w:r>
        <w:t xml:space="preserve">。</w:t>
      </w:r>
    </w:p>
    <w:p>
      <w:pPr>
        <w:pStyle w:val="Heading2"/>
      </w:pPr>
      <w:bookmarkStart w:id="42" w:name="参考文献部分公开来源"/>
      <w:r>
        <w:t xml:space="preserve">参考文献（部分公开来源）</w:t>
      </w:r>
      <w:bookmarkEnd w:id="42"/>
    </w:p>
    <w:p>
      <w:pPr>
        <w:numPr>
          <w:ilvl w:val="0"/>
          <w:numId w:val="1003"/>
        </w:numPr>
        <w:pStyle w:val="Compact"/>
      </w:pPr>
      <w:r>
        <w:t xml:space="preserve">华泰证券. (2026). 场景 Token 重塑 AI 应用商业模式.</w:t>
      </w:r>
    </w:p>
    <w:p>
      <w:pPr>
        <w:numPr>
          <w:ilvl w:val="0"/>
          <w:numId w:val="1003"/>
        </w:numPr>
        <w:pStyle w:val="Compact"/>
      </w:pPr>
      <w:r>
        <w:t xml:space="preserve">新华网. (2026). 词元重构 AI 时代商业生态.</w:t>
      </w:r>
    </w:p>
    <w:p>
      <w:pPr>
        <w:numPr>
          <w:ilvl w:val="0"/>
          <w:numId w:val="1003"/>
        </w:numPr>
        <w:pStyle w:val="Compact"/>
      </w:pPr>
      <w:r>
        <w:t xml:space="preserve">央视网. (2026). 4.69 万亿 Token 背后中国 AI 大模型价格优势.</w:t>
      </w:r>
    </w:p>
    <w:p>
      <w:pPr>
        <w:numPr>
          <w:ilvl w:val="0"/>
          <w:numId w:val="1003"/>
        </w:numPr>
        <w:pStyle w:val="Compact"/>
      </w:pPr>
      <w:r>
        <w:t xml:space="preserve">Bank for International Settlements. (2024). API Standards for Data-Sharing.</w:t>
      </w:r>
    </w:p>
    <w:p>
      <w:pPr>
        <w:numPr>
          <w:ilvl w:val="0"/>
          <w:numId w:val="1003"/>
        </w:numPr>
        <w:pStyle w:val="Compact"/>
      </w:pPr>
      <w:r>
        <w:t xml:space="preserve">arXiv:2505.21627. (2025). Is Your LLM Overcharging You? Tokenization, Transparency, and Incentives.</w:t>
      </w:r>
    </w:p>
    <w:p>
      <w:pPr>
        <w:numPr>
          <w:ilvl w:val="0"/>
          <w:numId w:val="1003"/>
        </w:numPr>
        <w:pStyle w:val="Compact"/>
      </w:pPr>
      <w:r>
        <w:t xml:space="preserve">Chainlink. (2024). Tokenized Lending: The Future of Credit.</w:t>
      </w:r>
    </w:p>
    <w:p>
      <w:pPr>
        <w:numPr>
          <w:ilvl w:val="0"/>
          <w:numId w:val="1003"/>
        </w:numPr>
        <w:pStyle w:val="Compact"/>
      </w:pPr>
      <w:r>
        <w:t xml:space="preserve">KuCoin Research. (2025). From LLM to Tokens: AI and Crypto Convergence.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立意独立性声明"/>
      <w:r>
        <w:t xml:space="preserve">立意独立性声明</w:t>
      </w:r>
      <w:bookmarkEnd w:id="43"/>
    </w:p>
    <w:p>
      <w:pPr>
        <w:pStyle w:val="FirstParagraph"/>
      </w:pPr>
      <w:r>
        <w:t xml:space="preserve">本文作者</w:t>
      </w:r>
      <w:r>
        <w:t xml:space="preserve"> </w:t>
      </w:r>
      <w:r>
        <w:rPr>
          <w:b/>
        </w:rPr>
        <w:t xml:space="preserve">GAVIN KIM</w:t>
      </w:r>
      <w:r>
        <w:t xml:space="preserve">（J&amp;P, Thailand；thaibuddy.ai@gmail.com）声明：「Token 中转站即 Token 银行」这一核心论题、银行四功能在 Token 中转站语境下的完整映射、Token 银行作为虚拟银行的定义、以及由此派生的六大金融产品矩阵，</w:t>
      </w:r>
      <w:r>
        <w:rPr>
          <w:b/>
        </w:rPr>
        <w:t xml:space="preserve">为本文作者于 2026 年 5 月 6 日独立提出的原创理论框架</w:t>
      </w:r>
      <w:r>
        <w:t xml:space="preserve">。本文以 CC BY 4.0 协议公开，欢迎引用、扩展与商业化使用，引用时请保留原作者署名。本文不涉及任何具体公司、项目或个人的商业归属问题，所述理论框架为业态层面的普遍分析。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版本日志</w:t>
      </w:r>
      <w:r>
        <w:t xml:space="preserve"> </w:t>
      </w:r>
      <w:r>
        <w:t xml:space="preserve">- v1.0 — 2026-05-06 — 首次公开发布</w:t>
      </w:r>
    </w:p>
    <w:p>
      <w:pPr>
        <w:pStyle w:val="BodyText"/>
      </w:pPr>
      <w:r>
        <w:rPr>
          <w:b/>
        </w:rPr>
        <w:t xml:space="preserve">联系方式</w:t>
      </w:r>
      <w:r>
        <w:t xml:space="preserve"> </w:t>
      </w:r>
      <w:r>
        <w:t xml:space="preserve">- 作者：GAVIN KIM</w:t>
      </w:r>
      <w:r>
        <w:t xml:space="preserve"> </w:t>
      </w:r>
      <w:r>
        <w:t xml:space="preserve">- 机构：J&amp;P (THAILAND)</w:t>
      </w:r>
      <w:r>
        <w:t xml:space="preserve"> </w:t>
      </w:r>
      <w:r>
        <w:t xml:space="preserve">- 邮箱：thaibuddy.ai@gmail.com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中转站即 Token 银行：AI 算力金融化的理论框架</dc:title>
  <dc:creator>GAVIN KIM (J&amp;P, Thailand)</dc:creator>
  <cp:keywords/>
  <dcterms:created xsi:type="dcterms:W3CDTF">2026-05-06T05:07:48Z</dcterms:created>
  <dcterms:modified xsi:type="dcterms:W3CDTF">2026-05-06T05:07:48Z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</Properties>
</file>