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Token Relay Station Is a Token Bank: A Theoretical Framework for AI Compute Financialization</w:t>
      </w:r>
    </w:p>
    <w:p>
      <w:pPr>
        <w:pStyle w:val="Author"/>
      </w:pPr>
      <w:r>
        <w:t xml:space="preserve">GAVIN KIM (J&amp;P, Thailand)</w:t>
      </w:r>
    </w:p>
    <w:p>
      <w:pPr>
        <w:pStyle w:val="Date"/>
      </w:pPr>
      <w:r>
        <w:t xml:space="preserve">May 6,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b05f6a72239ca14889bbea26e440269ec43b8fd"/>
      <w:r>
        <w:t xml:space="preserve">A Token Relay Station Is a Token Bank: A Theoretical Framework for AI Compute Financialization</w:t>
      </w:r>
      <w:bookmarkEnd w:id="20"/>
    </w:p>
    <w:p>
      <w:pPr>
        <w:pStyle w:val="FirstParagraph"/>
      </w:pPr>
      <w:r>
        <w:rPr>
          <w:b/>
        </w:rPr>
        <w:t xml:space="preserve">Original Chinese title</w:t>
      </w:r>
      <w:r>
        <w:t xml:space="preserve">: Token 中转站即 Token 银行：AI 算力金融化的理论框架</w:t>
      </w:r>
    </w:p>
    <w:p>
      <w:r>
        <w:pict>
          <v:rect style="width:0;height:1.5pt" o:hralign="center" o:hrstd="t" o:hr="t"/>
        </w:pict>
      </w:r>
    </w:p>
    <w:p>
      <w:pPr>
        <w:pStyle w:val="FirstParagraph"/>
      </w:pPr>
      <w:r>
        <w:rPr>
          <w:b/>
        </w:rPr>
        <w:t xml:space="preserve">Author</w:t>
      </w:r>
      <w:r>
        <w:t xml:space="preserve">: GAVIN KIM</w:t>
      </w:r>
      <w:r>
        <w:t xml:space="preserve"> </w:t>
      </w:r>
      <w:r>
        <w:rPr>
          <w:b/>
        </w:rPr>
        <w:t xml:space="preserve">Affiliation</w:t>
      </w:r>
      <w:r>
        <w:t xml:space="preserve">: J&amp;P (Thailand)</w:t>
      </w:r>
      <w:r>
        <w:t xml:space="preserve"> </w:t>
      </w:r>
      <w:r>
        <w:rPr>
          <w:b/>
        </w:rPr>
        <w:t xml:space="preserve">Contact</w:t>
      </w:r>
      <w:r>
        <w:t xml:space="preserve">: thaibuddy.ai@gmail.com</w:t>
      </w:r>
      <w:r>
        <w:t xml:space="preserve"> </w:t>
      </w:r>
      <w:r>
        <w:rPr>
          <w:b/>
        </w:rPr>
        <w:t xml:space="preserve">First Published</w:t>
      </w:r>
      <w:r>
        <w:t xml:space="preserve">: May 6, 2026</w:t>
      </w:r>
      <w:r>
        <w:t xml:space="preserve"> </w:t>
      </w:r>
      <w:r>
        <w:rPr>
          <w:b/>
        </w:rPr>
        <w:t xml:space="preserve">Version</w:t>
      </w:r>
      <w:r>
        <w:t xml:space="preserve">: v1.0</w:t>
      </w:r>
      <w:r>
        <w:t xml:space="preserve"> </w:t>
      </w:r>
      <w:r>
        <w:rPr>
          <w:b/>
        </w:rPr>
        <w:t xml:space="preserve">License</w:t>
      </w:r>
      <w:r>
        <w:t xml:space="preserve">: CC BY 4.0 (Attribution 4.0 International)</w:t>
      </w:r>
      <w:r>
        <w:t xml:space="preserve"> </w:t>
      </w:r>
      <w:r>
        <w:rPr>
          <w:b/>
        </w:rPr>
        <w:t xml:space="preserve">Citation</w:t>
      </w:r>
      <w:r>
        <w:t xml:space="preserve">: Kim, Gavin. (2026).</w:t>
      </w:r>
      <w:r>
        <w:t xml:space="preserve"> </w:t>
      </w:r>
      <w:r>
        <w:rPr>
          <w:i/>
        </w:rPr>
        <w:t xml:space="preserve">A Token Relay Station Is a Token Bank: A Theoretical Framework for AI Compute Financialization</w:t>
      </w:r>
      <w:r>
        <w:t xml:space="preserve">. J&amp;P (Thailand). v1.0.</w:t>
      </w:r>
    </w:p>
    <w:p>
      <w:r>
        <w:pict>
          <v:rect style="width:0;height:1.5pt" o:hralign="center" o:hrstd="t" o:hr="t"/>
        </w:pict>
      </w:r>
    </w:p>
    <w:p>
      <w:pPr>
        <w:pStyle w:val="Heading2"/>
      </w:pPr>
      <w:bookmarkStart w:id="21" w:name="abstract"/>
      <w:r>
        <w:t xml:space="preserve">Abstract</w:t>
      </w:r>
      <w:bookmarkEnd w:id="21"/>
    </w:p>
    <w:p>
      <w:pPr>
        <w:pStyle w:val="FirstParagraph"/>
      </w:pPr>
      <w:r>
        <w:t xml:space="preserve">This paper proposes an independently originated theoretical claim:</w:t>
      </w:r>
      <w:r>
        <w:t xml:space="preserve"> </w:t>
      </w:r>
      <w:r>
        <w:rPr>
          <w:b/>
        </w:rPr>
        <w:t xml:space="preserve">an AI Token Relay Station is, in its functional substance, a Token Bank.</w:t>
      </w:r>
      <w:r>
        <w:t xml:space="preserve"> </w:t>
      </w:r>
      <w:r>
        <w:t xml:space="preserve">As large model inference tokens have become the core unit of compute measurement in the AI era, the prevailing framing of multi-model API aggregators as</w:t>
      </w:r>
      <w:r>
        <w:t xml:space="preserve"> </w:t>
      </w:r>
      <w:r>
        <w:t xml:space="preserve">“</w:t>
      </w:r>
      <w:r>
        <w:t xml:space="preserve">resellers,</w:t>
      </w:r>
      <w:r>
        <w:t xml:space="preserve">”</w:t>
      </w:r>
      <w:r>
        <w:t xml:space="preserve"> </w:t>
      </w:r>
      <w:r>
        <w:t xml:space="preserve">“</w:t>
      </w:r>
      <w:r>
        <w:t xml:space="preserve">gateways,</w:t>
      </w:r>
      <w:r>
        <w:t xml:space="preserve">”</w:t>
      </w:r>
      <w:r>
        <w:t xml:space="preserve"> </w:t>
      </w:r>
      <w:r>
        <w:t xml:space="preserve">or</w:t>
      </w:r>
      <w:r>
        <w:t xml:space="preserve"> </w:t>
      </w:r>
      <w:r>
        <w:t xml:space="preserve">“</w:t>
      </w:r>
      <w:r>
        <w:t xml:space="preserve">API hubs</w:t>
      </w:r>
      <w:r>
        <w:t xml:space="preserve">”</w:t>
      </w:r>
      <w:r>
        <w:t xml:space="preserve"> </w:t>
      </w:r>
      <w:r>
        <w:t xml:space="preserve">obscures their true structural identity as financial intermediaries. This paper argues, starting from the energy-currency properties of tokens, that a Token Relay Station fully replicates the four core functions of commercial banking — aggregation, maturity transformation, risk pooling, and credit creation — and that from this foundation a complete portfolio of financial products can be derived. The paper further defines</w:t>
      </w:r>
      <w:r>
        <w:t xml:space="preserve"> </w:t>
      </w:r>
      <w:r>
        <w:rPr>
          <w:b/>
        </w:rPr>
        <w:t xml:space="preserve">the Token Bank as a new form of Virtual Bank</w:t>
      </w:r>
      <w:r>
        <w:t xml:space="preserve"> </w:t>
      </w:r>
      <w:r>
        <w:t xml:space="preserve">whose business scope intrinsically includes digital currency settlement and collateralized token lending. Through a structural comparison with the GitHub aggregation model, the paper demonstrates that the Token Bank’s flywheel mechanics, gross-margin structure, and competitive moat differ fundamentally from those of traditional knowledge-aggregation platforms. The paper closes with implementation considerations and an explicit declaration of intellectual independence.</w:t>
      </w:r>
    </w:p>
    <w:p>
      <w:pPr>
        <w:pStyle w:val="BodyText"/>
      </w:pPr>
      <w:r>
        <w:rPr>
          <w:b/>
        </w:rPr>
        <w:t xml:space="preserve">Keywords</w:t>
      </w:r>
      <w:r>
        <w:t xml:space="preserve">: Token Bank, AI Compute Financialization, Token Relay Station, Virtual Bank, Smart Routing Arbitrage, OPC (Open Platform &amp; Clearinghouse), Token Derivatives</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As artificial intelligence enters its commercial-scale phase, large model inference tokens have become the most important unit of priced compute in the AI economy. From OpenAI’s GPT family, Anthropic’s Claude family, and Google’s Gemini family, to Chinese providers including DeepSeek, Qwen, and MiniMax,</w:t>
      </w:r>
      <w:r>
        <w:t xml:space="preserve"> </w:t>
      </w:r>
      <w:r>
        <w:t xml:space="preserve">“</w:t>
      </w:r>
      <w:r>
        <w:t xml:space="preserve">per-token billing</w:t>
      </w:r>
      <w:r>
        <w:t xml:space="preserve">”</w:t>
      </w:r>
      <w:r>
        <w:t xml:space="preserve"> </w:t>
      </w:r>
      <w:r>
        <w:t xml:space="preserve">has become the industry-standard commercial mechanism for API monetization. A direct consequence is that, between the model layer and the application layer, a class of intermediaries has naturally emerged that specializes in routing token flow. This paper calls them</w:t>
      </w:r>
      <w:r>
        <w:t xml:space="preserve"> </w:t>
      </w:r>
      <w:r>
        <w:rPr>
          <w:b/>
        </w:rPr>
        <w:t xml:space="preserve">Token Relay Stations</w:t>
      </w:r>
      <w:r>
        <w:t xml:space="preserve">.</w:t>
      </w:r>
    </w:p>
    <w:p>
      <w:pPr>
        <w:pStyle w:val="BodyText"/>
      </w:pPr>
      <w:r>
        <w:t xml:space="preserve">Mainstream industry and media discourse describes Token Relay Stations through three interchangeable analogies: API resellers, API gateways, and API aggregators. All three share an implicit premise — that the relay station is a technical, distribution-channel-like, low-value-added intermediary.</w:t>
      </w:r>
      <w:r>
        <w:t xml:space="preserve"> </w:t>
      </w:r>
      <w:r>
        <w:rPr>
          <w:b/>
        </w:rPr>
        <w:t xml:space="preserve">This paper contends that this premise is a structural misreading.</w:t>
      </w:r>
      <w:r>
        <w:t xml:space="preserve"> </w:t>
      </w:r>
      <w:r>
        <w:t xml:space="preserve">It systematically underestimates the actual function set of a Token Relay Station, and in doing so understates its commercial ceiling and strategic significance.</w:t>
      </w:r>
    </w:p>
    <w:p>
      <w:pPr>
        <w:pStyle w:val="BodyText"/>
      </w:pPr>
      <w:r>
        <w:t xml:space="preserve">The central claim of this paper is:</w:t>
      </w:r>
    </w:p>
    <w:p>
      <w:pPr>
        <w:pStyle w:val="BlockText"/>
      </w:pPr>
      <w:r>
        <w:rPr>
          <w:b/>
        </w:rPr>
        <w:t xml:space="preserve">To run a Token Relay Station is to run a Token Bank.</w:t>
      </w:r>
    </w:p>
    <w:p>
      <w:pPr>
        <w:pStyle w:val="FirstParagraph"/>
      </w:pPr>
      <w:r>
        <w:t xml:space="preserve">This is not a marketing metaphor. It is a structural equivalence that admits formal demonstration. The paper substantiates the claim through three lines of argument: function mapping, product matrix, and institutional comparison. From there, it provides a full definition of the Token Bank as a new species of Virtual Bank.</w:t>
      </w:r>
    </w:p>
    <w:p>
      <w:pPr>
        <w:pStyle w:val="Heading2"/>
      </w:pPr>
      <w:bookmarkStart w:id="23" w:name="X0e321bbe6a564c0ce0718ff1c1cc40cff3f5d0a"/>
      <w:r>
        <w:t xml:space="preserve">2. Tokens as Energy Currency: A Three-Property Decomposition</w:t>
      </w:r>
      <w:bookmarkEnd w:id="23"/>
    </w:p>
    <w:p>
      <w:pPr>
        <w:pStyle w:val="FirstParagraph"/>
      </w:pPr>
      <w:r>
        <w:t xml:space="preserve">Any rigorous treatment of Token Relay Stations must begin with a precise characterization of the underlying token. This paper holds that</w:t>
      </w:r>
      <w:r>
        <w:t xml:space="preserve"> </w:t>
      </w:r>
      <w:r>
        <w:rPr>
          <w:b/>
        </w:rPr>
        <w:t xml:space="preserve">tokens are the energy currency of the AI compute era</w:t>
      </w:r>
      <w:r>
        <w:t xml:space="preserve">, but the analogy holds only when decomposed into three distinct properties.</w:t>
      </w:r>
    </w:p>
    <w:p>
      <w:pPr>
        <w:pStyle w:val="BodyText"/>
      </w:pPr>
      <w:r>
        <w:rPr>
          <w:b/>
        </w:rPr>
        <w:t xml:space="preserve">(1) Electricity-like properties.</w:t>
      </w:r>
      <w:r>
        <w:t xml:space="preserve"> </w:t>
      </w:r>
      <w:r>
        <w:t xml:space="preserve">Tokens are consumed at the moment of generation; they cannot be stockpiled. They exhibit peak-and-trough demand and rate-limiting behavior; they are highly latency-sensitive. This implies that the supply-side dispatch of tokens carries the engineering signature of an electrical grid.</w:t>
      </w:r>
    </w:p>
    <w:p>
      <w:pPr>
        <w:pStyle w:val="BodyText"/>
      </w:pPr>
      <w:r>
        <w:rPr>
          <w:b/>
        </w:rPr>
        <w:t xml:space="preserve">(2) Fuel-like properties.</w:t>
      </w:r>
      <w:r>
        <w:t xml:space="preserve"> </w:t>
      </w:r>
      <w:r>
        <w:t xml:space="preserve">Tokens across different models are deeply heterogeneous. Per 1,000 tokens, the cognitive density and unit cost of Claude Opus, GPT-5, Gemini Ultra, and DeepSeek differ by orders of magnitude. This implies that the token market exhibits grade differentiation, calorific differentiation, and inter-grade arbitrage opportunity by nature.</w:t>
      </w:r>
    </w:p>
    <w:p>
      <w:pPr>
        <w:pStyle w:val="BodyText"/>
      </w:pPr>
      <w:r>
        <w:rPr>
          <w:b/>
        </w:rPr>
        <w:t xml:space="preserve">(3) Traffic-like properties.</w:t>
      </w:r>
      <w:r>
        <w:t xml:space="preserve"> </w:t>
      </w:r>
      <w:r>
        <w:t xml:space="preserve">Tokens are billed in byte-grain units, settled across networks, capped by QPS limits, and require reconciliation and audit. This implies that the token market necessitates a clearing layer.</w:t>
      </w:r>
    </w:p>
    <w:p>
      <w:pPr>
        <w:pStyle w:val="BodyText"/>
      </w:pPr>
      <w:r>
        <w:t xml:space="preserve">These three properties jointly entail a corollary:</w:t>
      </w:r>
      <w:r>
        <w:t xml:space="preserve"> </w:t>
      </w:r>
      <w:r>
        <w:rPr>
          <w:b/>
        </w:rPr>
        <w:t xml:space="preserve">no serious token consumer should bind its critical path to a single supplier.</w:t>
      </w:r>
      <w:r>
        <w:t xml:space="preserve"> </w:t>
      </w:r>
      <w:r>
        <w:t xml:space="preserve">Supply-chain breakage, rate-limit incidents, deprecation of legacy contracts via model migration, and price shocks have all occurred multiple times in the past 24 months. This is the objective necessity for the existence of Token Relay Stations as intermediary institutions.</w:t>
      </w:r>
    </w:p>
    <w:p>
      <w:pPr>
        <w:pStyle w:val="Heading2"/>
      </w:pPr>
      <w:bookmarkStart w:id="24" w:name="the-limits-of-the-reseller-framing"/>
      <w:r>
        <w:t xml:space="preserve">3. The Limits of the</w:t>
      </w:r>
      <w:r>
        <w:t xml:space="preserve"> </w:t>
      </w:r>
      <w:r>
        <w:t xml:space="preserve">“</w:t>
      </w:r>
      <w:r>
        <w:t xml:space="preserve">Reseller</w:t>
      </w:r>
      <w:r>
        <w:t xml:space="preserve">”</w:t>
      </w:r>
      <w:r>
        <w:t xml:space="preserve"> </w:t>
      </w:r>
      <w:r>
        <w:t xml:space="preserve">Framing</w:t>
      </w:r>
      <w:bookmarkEnd w:id="24"/>
    </w:p>
    <w:p>
      <w:pPr>
        <w:pStyle w:val="FirstParagraph"/>
      </w:pPr>
      <w:r>
        <w:t xml:space="preserve">Treating a Token Relay Station as an</w:t>
      </w:r>
      <w:r>
        <w:t xml:space="preserve"> </w:t>
      </w:r>
      <w:r>
        <w:t xml:space="preserve">“</w:t>
      </w:r>
      <w:r>
        <w:t xml:space="preserve">API reseller</w:t>
      </w:r>
      <w:r>
        <w:t xml:space="preserve">”</w:t>
      </w:r>
      <w:r>
        <w:t xml:space="preserve"> </w:t>
      </w:r>
      <w:r>
        <w:t xml:space="preserve">results in a structurally low gross margin.</w:t>
      </w:r>
    </w:p>
    <w:p>
      <w:pPr>
        <w:pStyle w:val="BodyText"/>
      </w:pPr>
      <w:r>
        <w:t xml:space="preserve">The reseller model derives its profit from the spread between wholesale acquisition cost and retail price. For a highly fungible commodity like AI tokens, three forces continually compress this spread:</w:t>
      </w:r>
    </w:p>
    <w:p>
      <w:pPr>
        <w:numPr>
          <w:ilvl w:val="0"/>
          <w:numId w:val="1001"/>
        </w:numPr>
        <w:pStyle w:val="Compact"/>
      </w:pPr>
      <w:r>
        <w:t xml:space="preserve">Upstream model providers continuously launch their own first-party retail pricing.</w:t>
      </w:r>
    </w:p>
    <w:p>
      <w:pPr>
        <w:numPr>
          <w:ilvl w:val="0"/>
          <w:numId w:val="1001"/>
        </w:numPr>
        <w:pStyle w:val="Compact"/>
      </w:pPr>
      <w:r>
        <w:t xml:space="preserve">Multiple peer relay stations engage in price competition.</w:t>
      </w:r>
    </w:p>
    <w:p>
      <w:pPr>
        <w:numPr>
          <w:ilvl w:val="0"/>
          <w:numId w:val="1001"/>
        </w:numPr>
        <w:pStyle w:val="Compact"/>
      </w:pPr>
      <w:r>
        <w:t xml:space="preserve">End customers’ direct brand awareness of the underlying model providers strengthens, increasing the propensity to bypass intermediaries.</w:t>
      </w:r>
    </w:p>
    <w:p>
      <w:pPr>
        <w:pStyle w:val="FirstParagraph"/>
      </w:pPr>
      <w:r>
        <w:t xml:space="preserve">The typical gross margin of the reseller model lies between 5% and 15%. This is a survivable business but</w:t>
      </w:r>
      <w:r>
        <w:t xml:space="preserve"> </w:t>
      </w:r>
      <w:r>
        <w:rPr>
          <w:b/>
        </w:rPr>
        <w:t xml:space="preserve">not a structurally growing one</w:t>
      </w:r>
      <w:r>
        <w:t xml:space="preserve">, and certainly not one that warrants venture-scale capital deployment.</w:t>
      </w:r>
    </w:p>
    <w:p>
      <w:pPr>
        <w:pStyle w:val="BodyText"/>
      </w:pPr>
      <w:r>
        <w:t xml:space="preserve">The deeper problem is that the reseller framing misses the actual function set of a Token Relay Station. A relay station in operation, on a daily basis, performs the following actions:</w:t>
      </w:r>
    </w:p>
    <w:p>
      <w:pPr>
        <w:numPr>
          <w:ilvl w:val="0"/>
          <w:numId w:val="1002"/>
        </w:numPr>
        <w:pStyle w:val="Compact"/>
      </w:pPr>
      <w:r>
        <w:t xml:space="preserve">Aggregates massive volumes of pre-paid retail balances and uses the pool to negotiate Committed Use Discounts with upstream providers.</w:t>
      </w:r>
    </w:p>
    <w:p>
      <w:pPr>
        <w:numPr>
          <w:ilvl w:val="0"/>
          <w:numId w:val="1002"/>
        </w:numPr>
        <w:pStyle w:val="Compact"/>
      </w:pPr>
      <w:r>
        <w:t xml:space="preserve">Dynamically allocates requests across upstream models to stabilize SLAs.</w:t>
      </w:r>
    </w:p>
    <w:p>
      <w:pPr>
        <w:numPr>
          <w:ilvl w:val="0"/>
          <w:numId w:val="1002"/>
        </w:numPr>
        <w:pStyle w:val="Compact"/>
      </w:pPr>
      <w:r>
        <w:t xml:space="preserve">Provides post-paid credit lines to qualified downstream customers.</w:t>
      </w:r>
    </w:p>
    <w:p>
      <w:pPr>
        <w:numPr>
          <w:ilvl w:val="0"/>
          <w:numId w:val="1002"/>
        </w:numPr>
        <w:pStyle w:val="Compact"/>
      </w:pPr>
      <w:r>
        <w:t xml:space="preserve">Caches repeated requests, monetizing zero-marginal-cost serves.</w:t>
      </w:r>
    </w:p>
    <w:p>
      <w:pPr>
        <w:numPr>
          <w:ilvl w:val="0"/>
          <w:numId w:val="1002"/>
        </w:numPr>
        <w:pStyle w:val="Compact"/>
      </w:pPr>
      <w:r>
        <w:t xml:space="preserve">Auto-degrades or auto-switches when upstream rate-limits trigger, in order to maintain service.</w:t>
      </w:r>
    </w:p>
    <w:p>
      <w:pPr>
        <w:pStyle w:val="FirstParagraph"/>
      </w:pPr>
      <w:r>
        <w:rPr>
          <w:b/>
        </w:rPr>
        <w:t xml:space="preserve">None of these is what a reseller does. All of them are what a bank does.</w:t>
      </w:r>
    </w:p>
    <w:p>
      <w:pPr>
        <w:pStyle w:val="Heading2"/>
      </w:pPr>
      <w:bookmarkStart w:id="25" w:name="X905ee130d63f2b892b3d7b331eb3ba506edd40a"/>
      <w:r>
        <w:t xml:space="preserve">4. The Central Thesis: Token Relay Station = Token Bank</w:t>
      </w:r>
      <w:bookmarkEnd w:id="25"/>
    </w:p>
    <w:p>
      <w:pPr>
        <w:pStyle w:val="FirstParagraph"/>
      </w:pPr>
      <w:r>
        <w:t xml:space="preserve">The central thesis of this paper is stated as follows:</w:t>
      </w:r>
    </w:p>
    <w:p>
      <w:pPr>
        <w:pStyle w:val="BlockText"/>
      </w:pPr>
      <w:r>
        <w:rPr>
          <w:b/>
        </w:rPr>
        <w:t xml:space="preserve">When an institution’s operating function simultaneously contains the four behaviors of (a) aggregating capital or compute, (b) performing maturity transformation, (c) pooling risk, and (d) creating credit, it is, regardless of how it labels itself, a bank in financial substance.</w:t>
      </w:r>
    </w:p>
    <w:p>
      <w:pPr>
        <w:pStyle w:val="BlockText"/>
      </w:pPr>
      <w:r>
        <w:rPr>
          <w:b/>
        </w:rPr>
        <w:t xml:space="preserve">A Token Relay Station’s operating function simultaneously contains all four. Therefore, in financial substance, a Token Relay Station is a bank.</w:t>
      </w:r>
    </w:p>
    <w:p>
      <w:pPr>
        <w:pStyle w:val="BlockText"/>
      </w:pPr>
      <w:r>
        <w:rPr>
          <w:b/>
        </w:rPr>
        <w:t xml:space="preserve">Because the unit of settlement is AI Tokens rather than fiat currency, this paper names this institution the Token Bank.</w:t>
      </w:r>
    </w:p>
    <w:p>
      <w:pPr>
        <w:pStyle w:val="FirstParagraph"/>
      </w:pPr>
      <w:r>
        <w:t xml:space="preserve">The next section maps each of the four banking functions onto specific Token Relay Station behaviors.</w:t>
      </w:r>
    </w:p>
    <w:p>
      <w:pPr>
        <w:pStyle w:val="Heading2"/>
      </w:pPr>
      <w:bookmarkStart w:id="26" w:name="X01c398a3252ae5530f56c857073130b6797b205"/>
      <w:r>
        <w:t xml:space="preserve">5. The Four Banking Functions Mapped onto a Token Relay Station</w:t>
      </w:r>
      <w:bookmarkEnd w:id="26"/>
    </w:p>
    <w:p>
      <w:pPr>
        <w:pStyle w:val="Heading3"/>
      </w:pPr>
      <w:bookmarkStart w:id="27" w:name="aggregation"/>
      <w:r>
        <w:t xml:space="preserve">5.1 Aggregation</w:t>
      </w:r>
      <w:bookmarkEnd w:id="27"/>
    </w:p>
    <w:p>
      <w:pPr>
        <w:pStyle w:val="FirstParagraph"/>
      </w:pPr>
      <w:r>
        <w:t xml:space="preserve">The first-principles function of a commercial bank is the absorption of deposits — the aggregation of dispersed, fragmented, low-per-unit funds into a centrally dispatchable capital pool.</w:t>
      </w:r>
    </w:p>
    <w:p>
      <w:pPr>
        <w:pStyle w:val="BodyText"/>
      </w:pPr>
      <w:r>
        <w:t xml:space="preserve">The equivalent action by a Token Relay Station is</w:t>
      </w:r>
      <w:r>
        <w:t xml:space="preserve"> </w:t>
      </w:r>
      <w:r>
        <w:rPr>
          <w:b/>
        </w:rPr>
        <w:t xml:space="preserve">two-sided aggregation</w:t>
      </w:r>
      <w:r>
        <w:t xml:space="preserve">:</w:t>
      </w:r>
    </w:p>
    <w:p>
      <w:pPr>
        <w:numPr>
          <w:ilvl w:val="0"/>
          <w:numId w:val="1003"/>
        </w:numPr>
        <w:pStyle w:val="Compact"/>
      </w:pPr>
      <w:r>
        <w:rPr>
          <w:b/>
        </w:rPr>
        <w:t xml:space="preserve">Upstream aggregation</w:t>
      </w:r>
      <w:r>
        <w:t xml:space="preserve">: pre-paid commercial commitments to multiple model providers, pooling otherwise compartmentalized compute balances into one centrally dispatchable resource.</w:t>
      </w:r>
    </w:p>
    <w:p>
      <w:pPr>
        <w:numPr>
          <w:ilvl w:val="0"/>
          <w:numId w:val="1003"/>
        </w:numPr>
        <w:pStyle w:val="Compact"/>
      </w:pPr>
      <w:r>
        <w:rPr>
          <w:b/>
        </w:rPr>
        <w:t xml:space="preserve">Downstream aggregation</w:t>
      </w:r>
      <w:r>
        <w:t xml:space="preserve">: ingestion of pre-paid balances from developers, SMEs, and individual users, forming a token consumption pool.</w:t>
      </w:r>
    </w:p>
    <w:p>
      <w:pPr>
        <w:pStyle w:val="FirstParagraph"/>
      </w:pPr>
      <w:r>
        <w:t xml:space="preserve">Aggregation itself is a source of revenue. Aggregation scale determines bargaining power with upstream, and bargaining power determines the SLA tier the relay station can promise downstream.</w:t>
      </w:r>
      <w:r>
        <w:t xml:space="preserve"> </w:t>
      </w:r>
      <w:r>
        <w:rPr>
          <w:b/>
        </w:rPr>
        <w:t xml:space="preserve">Aggregation is bargaining power, and bargaining power is profit.</w:t>
      </w:r>
    </w:p>
    <w:p>
      <w:pPr>
        <w:pStyle w:val="Heading3"/>
      </w:pPr>
      <w:bookmarkStart w:id="28" w:name="maturity-transformation"/>
      <w:r>
        <w:t xml:space="preserve">5.2 Maturity Transformation</w:t>
      </w:r>
      <w:bookmarkEnd w:id="28"/>
    </w:p>
    <w:p>
      <w:pPr>
        <w:pStyle w:val="FirstParagraph"/>
      </w:pPr>
      <w:r>
        <w:t xml:space="preserve">The deepest source of profitability in commercial banking is maturity transformation: absorbing short-term, redeemable deposits and originating long-term, non-redeemable loans, capturing the term-spread.</w:t>
      </w:r>
    </w:p>
    <w:p>
      <w:pPr>
        <w:pStyle w:val="BodyText"/>
      </w:pPr>
      <w:r>
        <w:t xml:space="preserve">The equivalent mechanism in a Token Relay Station is the</w:t>
      </w:r>
      <w:r>
        <w:t xml:space="preserve"> </w:t>
      </w:r>
      <w:r>
        <w:rPr>
          <w:b/>
        </w:rPr>
        <w:t xml:space="preserve">“</w:t>
      </w:r>
      <w:r>
        <w:rPr>
          <w:b/>
        </w:rPr>
        <w:t xml:space="preserve">committed-vs-on-demand</w:t>
      </w:r>
      <w:r>
        <w:rPr>
          <w:b/>
        </w:rPr>
        <w:t xml:space="preserve">”</w:t>
      </w:r>
      <w:r>
        <w:rPr>
          <w:b/>
        </w:rPr>
        <w:t xml:space="preserve"> </w:t>
      </w:r>
      <w:r>
        <w:rPr>
          <w:b/>
        </w:rPr>
        <w:t xml:space="preserve">mismatch</w:t>
      </w:r>
      <w:r>
        <w:t xml:space="preserve">:</w:t>
      </w:r>
    </w:p>
    <w:p>
      <w:pPr>
        <w:numPr>
          <w:ilvl w:val="0"/>
          <w:numId w:val="1004"/>
        </w:numPr>
        <w:pStyle w:val="Compact"/>
      </w:pPr>
      <w:r>
        <w:t xml:space="preserve">The relay station enters into</w:t>
      </w:r>
      <w:r>
        <w:t xml:space="preserve"> </w:t>
      </w:r>
      <w:r>
        <w:rPr>
          <w:b/>
        </w:rPr>
        <w:t xml:space="preserve">Annual Committed Use Agreements</w:t>
      </w:r>
      <w:r>
        <w:t xml:space="preserve"> </w:t>
      </w:r>
      <w:r>
        <w:t xml:space="preserve">with upstream providers (commitment of N billion tokens per year), capturing 30%–50% discounts.</w:t>
      </w:r>
    </w:p>
    <w:p>
      <w:pPr>
        <w:numPr>
          <w:ilvl w:val="0"/>
          <w:numId w:val="1004"/>
        </w:numPr>
        <w:pStyle w:val="Compact"/>
      </w:pPr>
      <w:r>
        <w:t xml:space="preserve">The relay station sells</w:t>
      </w:r>
      <w:r>
        <w:t xml:space="preserve"> </w:t>
      </w:r>
      <w:r>
        <w:rPr>
          <w:b/>
        </w:rPr>
        <w:t xml:space="preserve">on-demand, no-commitment, instantly invocable token rights</w:t>
      </w:r>
      <w:r>
        <w:t xml:space="preserve"> </w:t>
      </w:r>
      <w:r>
        <w:t xml:space="preserve">downstream.</w:t>
      </w:r>
    </w:p>
    <w:p>
      <w:pPr>
        <w:pStyle w:val="FirstParagraph"/>
      </w:pPr>
      <w:r>
        <w:t xml:space="preserve">This mismatch is itself a source of profit.</w:t>
      </w:r>
      <w:r>
        <w:t xml:space="preserve"> </w:t>
      </w:r>
      <w:r>
        <w:rPr>
          <w:b/>
        </w:rPr>
        <w:t xml:space="preserve">Customers pay a premium for flexibility; the relay station obtains a discount for commitment.</w:t>
      </w:r>
      <w:r>
        <w:t xml:space="preserve"> </w:t>
      </w:r>
      <w:r>
        <w:t xml:space="preserve">The difference — the maturity transformation spread — is the most stable cash-flow engine of a Token Bank.</w:t>
      </w:r>
    </w:p>
    <w:p>
      <w:pPr>
        <w:pStyle w:val="Heading3"/>
      </w:pPr>
      <w:bookmarkStart w:id="29" w:name="risk-pooling"/>
      <w:r>
        <w:t xml:space="preserve">5.3 Risk Pooling</w:t>
      </w:r>
      <w:bookmarkEnd w:id="29"/>
    </w:p>
    <w:p>
      <w:pPr>
        <w:pStyle w:val="FirstParagraph"/>
      </w:pPr>
      <w:r>
        <w:t xml:space="preserve">The third core function of a commercial bank is risk pooling: dispersing the idiosyncratic risk of any one depositor or borrower across a population large enough that the law of large numbers smooths it out.</w:t>
      </w:r>
    </w:p>
    <w:p>
      <w:pPr>
        <w:pStyle w:val="BodyText"/>
      </w:pPr>
      <w:r>
        <w:t xml:space="preserve">The equivalent mechanism in a Token Relay Station is</w:t>
      </w:r>
      <w:r>
        <w:t xml:space="preserve"> </w:t>
      </w:r>
      <w:r>
        <w:rPr>
          <w:b/>
        </w:rPr>
        <w:t xml:space="preserve">call-pattern pooling</w:t>
      </w:r>
      <w:r>
        <w:t xml:space="preserve">:</w:t>
      </w:r>
    </w:p>
    <w:p>
      <w:pPr>
        <w:numPr>
          <w:ilvl w:val="0"/>
          <w:numId w:val="1005"/>
        </w:numPr>
        <w:pStyle w:val="Compact"/>
      </w:pPr>
      <w:r>
        <w:t xml:space="preserve">Individual customer requests are bursty — one day a customer may suddenly require one million tokens; another day, none.</w:t>
      </w:r>
    </w:p>
    <w:p>
      <w:pPr>
        <w:numPr>
          <w:ilvl w:val="0"/>
          <w:numId w:val="1005"/>
        </w:numPr>
        <w:pStyle w:val="Compact"/>
      </w:pPr>
      <w:r>
        <w:t xml:space="preserve">When the pool is sufficiently large, the</w:t>
      </w:r>
      <w:r>
        <w:t xml:space="preserve"> </w:t>
      </w:r>
      <w:r>
        <w:rPr>
          <w:b/>
        </w:rPr>
        <w:t xml:space="preserve">aggregate call curve smooths out</w:t>
      </w:r>
      <w:r>
        <w:t xml:space="preserve">.</w:t>
      </w:r>
    </w:p>
    <w:p>
      <w:pPr>
        <w:numPr>
          <w:ilvl w:val="0"/>
          <w:numId w:val="1005"/>
        </w:numPr>
        <w:pStyle w:val="Compact"/>
      </w:pPr>
      <w:r>
        <w:t xml:space="preserve">The relay station can therefore make sharper demand forecasts to the upstream and obtain superior commercial terms.</w:t>
      </w:r>
    </w:p>
    <w:p>
      <w:pPr>
        <w:pStyle w:val="FirstParagraph"/>
      </w:pPr>
      <w:r>
        <w:t xml:space="preserve">The other face of risk pooling is</w:t>
      </w:r>
      <w:r>
        <w:t xml:space="preserve"> </w:t>
      </w:r>
      <w:r>
        <w:rPr>
          <w:b/>
        </w:rPr>
        <w:t xml:space="preserve">multi-supplier hedging</w:t>
      </w:r>
      <w:r>
        <w:t xml:space="preserve">: when OpenAI rate-limits, requests fail over to Anthropic; when Anthropic raises prices, downgrades route to DeepSeek.</w:t>
      </w:r>
      <w:r>
        <w:t xml:space="preserve"> </w:t>
      </w:r>
      <w:r>
        <w:rPr>
          <w:b/>
        </w:rPr>
        <w:t xml:space="preserve">No single upstream event remains a customer-facing event.</w:t>
      </w:r>
      <w:r>
        <w:t xml:space="preserve"> </w:t>
      </w:r>
      <w:r>
        <w:t xml:space="preserve">This is the relay station’s structural value as a risk-absorption layer.</w:t>
      </w:r>
    </w:p>
    <w:p>
      <w:pPr>
        <w:pStyle w:val="Heading3"/>
      </w:pPr>
      <w:bookmarkStart w:id="30" w:name="credit-creation"/>
      <w:r>
        <w:t xml:space="preserve">5.4 Credit Creation</w:t>
      </w:r>
      <w:bookmarkEnd w:id="30"/>
    </w:p>
    <w:p>
      <w:pPr>
        <w:pStyle w:val="FirstParagraph"/>
      </w:pPr>
      <w:r>
        <w:t xml:space="preserve">The highest-order function of a commercial bank is credit creation: generating circulating purchasing power from book-entry records, without physically removing the underlying deposits.</w:t>
      </w:r>
    </w:p>
    <w:p>
      <w:pPr>
        <w:pStyle w:val="BodyText"/>
      </w:pPr>
      <w:r>
        <w:t xml:space="preserve">The equivalent mechanism in a Token Relay Station is the</w:t>
      </w:r>
      <w:r>
        <w:t xml:space="preserve"> </w:t>
      </w:r>
      <w:r>
        <w:rPr>
          <w:b/>
        </w:rPr>
        <w:t xml:space="preserve">Token Credit Line</w:t>
      </w:r>
      <w:r>
        <w:t xml:space="preserve">:</w:t>
      </w:r>
    </w:p>
    <w:p>
      <w:pPr>
        <w:numPr>
          <w:ilvl w:val="0"/>
          <w:numId w:val="1006"/>
        </w:numPr>
        <w:pStyle w:val="Compact"/>
      </w:pPr>
      <w:r>
        <w:t xml:space="preserve">A vetted developer or enterprise is granted a</w:t>
      </w:r>
      <w:r>
        <w:t xml:space="preserve"> </w:t>
      </w:r>
      <w:r>
        <w:t xml:space="preserve">“</w:t>
      </w:r>
      <w:r>
        <w:t xml:space="preserve">use now, pay later</w:t>
      </w:r>
      <w:r>
        <w:t xml:space="preserve">”</w:t>
      </w:r>
      <w:r>
        <w:t xml:space="preserve"> </w:t>
      </w:r>
      <w:r>
        <w:t xml:space="preserve">allowance (e.g., USD 10,000 per month).</w:t>
      </w:r>
    </w:p>
    <w:p>
      <w:pPr>
        <w:numPr>
          <w:ilvl w:val="0"/>
          <w:numId w:val="1006"/>
        </w:numPr>
        <w:pStyle w:val="Compact"/>
      </w:pPr>
      <w:r>
        <w:t xml:space="preserve">Within the cycle, the customer freely calls APIs and is settled on a calendar at month-end.</w:t>
      </w:r>
    </w:p>
    <w:p>
      <w:pPr>
        <w:numPr>
          <w:ilvl w:val="0"/>
          <w:numId w:val="1006"/>
        </w:numPr>
        <w:pStyle w:val="Compact"/>
      </w:pPr>
      <w:r>
        <w:t xml:space="preserve">Beyond the limit, the system rate-limits or requires top-up of collateral.</w:t>
      </w:r>
    </w:p>
    <w:p>
      <w:pPr>
        <w:pStyle w:val="FirstParagraph"/>
      </w:pPr>
      <w:r>
        <w:t xml:space="preserve">This mechanism creates real credit — customer cash flow improves, application iteration accelerates, the relay station gains stickiness and earns interest spread (post-paid pricing exceeds pre-paid).</w:t>
      </w:r>
      <w:r>
        <w:t xml:space="preserve"> </w:t>
      </w:r>
      <w:r>
        <w:rPr>
          <w:b/>
        </w:rPr>
        <w:t xml:space="preserve">Credit creation is the mechanism by which Token Bank gross margins jump from 30% to 60%.</w:t>
      </w:r>
    </w:p>
    <w:p>
      <w:pPr>
        <w:pStyle w:val="Heading3"/>
      </w:pPr>
      <w:bookmarkStart w:id="31" w:name="summary"/>
      <w:r>
        <w:t xml:space="preserve">5.5 Summary</w:t>
      </w:r>
      <w:bookmarkEnd w:id="31"/>
    </w:p>
    <w:p>
      <w:pPr>
        <w:pStyle w:val="FirstParagraph"/>
      </w:pPr>
      <w:r>
        <w:t xml:space="preserve">Once the four-function mapping is complete, the proposition</w:t>
      </w:r>
      <w:r>
        <w:t xml:space="preserve"> </w:t>
      </w:r>
      <w:r>
        <w:t xml:space="preserve">“</w:t>
      </w:r>
      <w:r>
        <w:t xml:space="preserve">Token Relay Station = Token Bank</w:t>
      </w:r>
      <w:r>
        <w:t xml:space="preserve">”</w:t>
      </w:r>
      <w:r>
        <w:t xml:space="preserve"> </w:t>
      </w:r>
      <w:r>
        <w:t xml:space="preserve">ceases to be metaphor and becomes structural identity.</w:t>
      </w:r>
      <w:r>
        <w:t xml:space="preserve"> </w:t>
      </w:r>
      <w:r>
        <w:rPr>
          <w:b/>
        </w:rPr>
        <w:t xml:space="preserve">Whether a Token Relay Station is a bank does not depend on what it calls itself; it depends on what its operating function is.</w:t>
      </w:r>
    </w:p>
    <w:p>
      <w:pPr>
        <w:pStyle w:val="Heading2"/>
      </w:pPr>
      <w:bookmarkStart w:id="32" w:name="Xd0d5615d649fb60957d64aef5914aa8810c5d85"/>
      <w:r>
        <w:t xml:space="preserve">6. The Token Bank as a Virtual Bank: Definition</w:t>
      </w:r>
      <w:bookmarkEnd w:id="32"/>
    </w:p>
    <w:p>
      <w:pPr>
        <w:pStyle w:val="Heading3"/>
      </w:pPr>
      <w:bookmarkStart w:id="33" w:name="why-virtual-bank"/>
      <w:r>
        <w:t xml:space="preserve">6.1 Why</w:t>
      </w:r>
      <w:r>
        <w:t xml:space="preserve"> </w:t>
      </w:r>
      <w:r>
        <w:t xml:space="preserve">“</w:t>
      </w:r>
      <w:r>
        <w:t xml:space="preserve">Virtual Bank</w:t>
      </w:r>
      <w:r>
        <w:t xml:space="preserve">”</w:t>
      </w:r>
      <w:bookmarkEnd w:id="33"/>
    </w:p>
    <w:p>
      <w:pPr>
        <w:pStyle w:val="FirstParagraph"/>
      </w:pPr>
      <w:r>
        <w:t xml:space="preserve">Traditional banks are bound by geography and by the fiat clearing system. The Token Bank has neither constraint — APIs are globally synchronous, and no single fiat currency need be embedded as the unit of settlement. This paper therefore defines the Token Bank as a form of</w:t>
      </w:r>
      <w:r>
        <w:t xml:space="preserve"> </w:t>
      </w:r>
      <w:r>
        <w:rPr>
          <w:b/>
        </w:rPr>
        <w:t xml:space="preserve">Virtual Bank</w:t>
      </w:r>
      <w:r>
        <w:t xml:space="preserve">:</w:t>
      </w:r>
    </w:p>
    <w:p>
      <w:pPr>
        <w:pStyle w:val="BlockText"/>
      </w:pPr>
      <w:r>
        <w:rPr>
          <w:b/>
        </w:rPr>
        <w:t xml:space="preserve">A Virtual Bank is a financial institution whose unit of settlement is a measurable digital asset (including AI Tokens and digital currencies); whose clearing layer is implemented in smart contracts or equivalently trustworthy infrastructure; whose customer base is the global community of developers and enterprises; and which provides the complete four banking functions of aggregation, maturity transformation, risk pooling, and credit creation.</w:t>
      </w:r>
    </w:p>
    <w:p>
      <w:pPr>
        <w:pStyle w:val="Heading3"/>
      </w:pPr>
      <w:bookmarkStart w:id="34" w:name="X4117158d7a38c138301cd36de3b6e9699ecd929"/>
      <w:r>
        <w:t xml:space="preserve">6.2 Two Definitionally Necessary Lines of Business</w:t>
      </w:r>
      <w:bookmarkEnd w:id="34"/>
    </w:p>
    <w:p>
      <w:pPr>
        <w:pStyle w:val="FirstParagraph"/>
      </w:pPr>
      <w:r>
        <w:t xml:space="preserve">A Virtual Bank intrinsically contains two business lines.</w:t>
      </w:r>
      <w:r>
        <w:t xml:space="preserve"> </w:t>
      </w:r>
      <w:r>
        <w:rPr>
          <w:b/>
        </w:rPr>
        <w:t xml:space="preserve">These are not optional add-ons. They are definitional.</w:t>
      </w:r>
    </w:p>
    <w:p>
      <w:pPr>
        <w:pStyle w:val="BodyText"/>
      </w:pPr>
      <w:r>
        <w:rPr>
          <w:b/>
        </w:rPr>
        <w:t xml:space="preserve">(1) Digital Currency Settlement.</w:t>
      </w:r>
      <w:r>
        <w:t xml:space="preserve"> </w:t>
      </w:r>
      <w:r>
        <w:t xml:space="preserve">The global flow of tokens demands a borderless, low-friction, programmable settlement medium.</w:t>
      </w:r>
      <w:r>
        <w:t xml:space="preserve"> </w:t>
      </w:r>
      <w:r>
        <w:rPr>
          <w:b/>
        </w:rPr>
        <w:t xml:space="preserve">The fiat-rail settlement path (credit cards, wires, PayPal) cannot meet the latency, cost, or coverage demands of a real-time AI compute market.</w:t>
      </w:r>
      <w:r>
        <w:t xml:space="preserve"> </w:t>
      </w:r>
      <w:r>
        <w:t xml:space="preserve">Stablecoins (USDC, USDT) and compliant on-chain digital currencies are the only viable clearing medium. The Token Bank, therefore, takes digital currency as its primary settlement asset, which means its standard product set intrinsically includes: fiat-to-digital conversion, on-chain wallet integration, cross-chain settlement, and digital-currency market making.</w:t>
      </w:r>
    </w:p>
    <w:p>
      <w:pPr>
        <w:pStyle w:val="BodyText"/>
      </w:pPr>
      <w:r>
        <w:rPr>
          <w:b/>
        </w:rPr>
        <w:t xml:space="preserve">(2) Collateralized Token Purchase.</w:t>
      </w:r>
      <w:r>
        <w:t xml:space="preserve"> </w:t>
      </w:r>
      <w:r>
        <w:t xml:space="preserve">When a customer wishes to obtain a large token allowance on credit, the Token Bank may accept the customer’s digital assets (stablecoins, blue-chip crypto) as collateral and issue a token credit line at a defined collateralization ratio. This is functionally equivalent to traditional collateralized lending — except the collateral is a digital asset, and the loaned good is AI compute.</w:t>
      </w:r>
      <w:r>
        <w:t xml:space="preserve"> </w:t>
      </w:r>
      <w:r>
        <w:rPr>
          <w:b/>
        </w:rPr>
        <w:t xml:space="preserve">This is a financial product unique to the Token Bank: Compute Lending.</w:t>
      </w:r>
    </w:p>
    <w:p>
      <w:pPr>
        <w:pStyle w:val="Heading3"/>
      </w:pPr>
      <w:bookmarkStart w:id="35" w:name="Xe2b22e959684f0fa4666da195b0676b422b5f79"/>
      <w:r>
        <w:t xml:space="preserve">6.3 The Three-Layer Architecture of a Virtual Bank</w:t>
      </w:r>
      <w:bookmarkEnd w:id="3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Responsibility</w:t>
            </w:r>
          </w:p>
        </w:tc>
        <w:tc>
          <w:tcPr>
            <w:tcBorders>
              <w:bottom w:val="single"/>
            </w:tcBorders>
            <w:vAlign w:val="bottom"/>
          </w:tcPr>
          <w:p>
            <w:pPr>
              <w:pStyle w:val="Compact"/>
              <w:jc w:val="left"/>
            </w:pPr>
            <w:r>
              <w:t xml:space="preserve">Traditional Analogue</w:t>
            </w:r>
          </w:p>
        </w:tc>
      </w:tr>
      <w:tr>
        <w:tc>
          <w:p>
            <w:pPr>
              <w:pStyle w:val="Compact"/>
              <w:jc w:val="left"/>
            </w:pPr>
            <w:r>
              <w:t xml:space="preserve">Asset Layer</w:t>
            </w:r>
          </w:p>
        </w:tc>
        <w:tc>
          <w:p>
            <w:pPr>
              <w:pStyle w:val="Compact"/>
              <w:jc w:val="left"/>
            </w:pPr>
            <w:r>
              <w:t xml:space="preserve">AI token pools, digital currency reserves, collateral management</w:t>
            </w:r>
          </w:p>
        </w:tc>
        <w:tc>
          <w:p>
            <w:pPr>
              <w:pStyle w:val="Compact"/>
              <w:jc w:val="left"/>
            </w:pPr>
            <w:r>
              <w:t xml:space="preserve">Bank balance sheet</w:t>
            </w:r>
          </w:p>
        </w:tc>
      </w:tr>
      <w:tr>
        <w:tc>
          <w:p>
            <w:pPr>
              <w:pStyle w:val="Compact"/>
              <w:jc w:val="left"/>
            </w:pPr>
            <w:r>
              <w:t xml:space="preserve">Clearing Layer</w:t>
            </w:r>
          </w:p>
        </w:tc>
        <w:tc>
          <w:p>
            <w:pPr>
              <w:pStyle w:val="Compact"/>
              <w:jc w:val="left"/>
            </w:pPr>
            <w:r>
              <w:t xml:space="preserve">On-chain settlement, reconciliation, automated smart contract execution</w:t>
            </w:r>
          </w:p>
        </w:tc>
        <w:tc>
          <w:p>
            <w:pPr>
              <w:pStyle w:val="Compact"/>
              <w:jc w:val="left"/>
            </w:pPr>
            <w:r>
              <w:t xml:space="preserve">Bank core systems + clearinghouse</w:t>
            </w:r>
          </w:p>
        </w:tc>
      </w:tr>
      <w:tr>
        <w:tc>
          <w:p>
            <w:pPr>
              <w:pStyle w:val="Compact"/>
              <w:jc w:val="left"/>
            </w:pPr>
            <w:r>
              <w:t xml:space="preserve">Business Layer</w:t>
            </w:r>
          </w:p>
        </w:tc>
        <w:tc>
          <w:p>
            <w:pPr>
              <w:pStyle w:val="Compact"/>
              <w:jc w:val="left"/>
            </w:pPr>
            <w:r>
              <w:t xml:space="preserve">Top-ups, calls, lending, derivatives, insurance</w:t>
            </w:r>
          </w:p>
        </w:tc>
        <w:tc>
          <w:p>
            <w:pPr>
              <w:pStyle w:val="Compact"/>
              <w:jc w:val="left"/>
            </w:pPr>
            <w:r>
              <w:t xml:space="preserve">Retail bank + investment bank + asset management</w:t>
            </w:r>
          </w:p>
        </w:tc>
      </w:tr>
    </w:tbl>
    <w:p>
      <w:pPr>
        <w:pStyle w:val="BodyText"/>
      </w:pPr>
      <w:r>
        <w:rPr>
          <w:b/>
        </w:rPr>
        <w:t xml:space="preserve">This three-layer structure is the Minimum Viable Architecture (MVA) of any scalable Token Bank.</w:t>
      </w:r>
      <w:r>
        <w:t xml:space="preserve"> </w:t>
      </w:r>
      <w:r>
        <w:t xml:space="preserve">Drop any one layer, and the structure is incomplete — the moat collapses.</w:t>
      </w:r>
    </w:p>
    <w:p>
      <w:pPr>
        <w:pStyle w:val="Heading2"/>
      </w:pPr>
      <w:bookmarkStart w:id="36" w:name="the-six-product-financial-matrix"/>
      <w:r>
        <w:t xml:space="preserve">7. The Six-Product Financial Matrix</w:t>
      </w:r>
      <w:bookmarkEnd w:id="36"/>
    </w:p>
    <w:p>
      <w:pPr>
        <w:pStyle w:val="FirstParagraph"/>
      </w:pPr>
      <w:r>
        <w:t xml:space="preserve">On top of the Token Bank definition, a structured product matrix can be derived. This paper orders the products by ascending operational difficulty and innovation intensity.</w:t>
      </w:r>
    </w:p>
    <w:p>
      <w:pPr>
        <w:pStyle w:val="BodyText"/>
      </w:pPr>
      <w:r>
        <w:rPr>
          <w:b/>
        </w:rPr>
        <w:t xml:space="preserve">(1) Spread Banking.</w:t>
      </w:r>
      <w:r>
        <w:t xml:space="preserve"> </w:t>
      </w:r>
      <w:r>
        <w:t xml:space="preserve">Stable spread between upstream Committed Use Discount and downstream retail.</w:t>
      </w:r>
      <w:r>
        <w:t xml:space="preserve"> </w:t>
      </w:r>
      <w:r>
        <w:rPr>
          <w:b/>
        </w:rPr>
        <w:t xml:space="preserve">This is the cash-flow engine of the Token Bank.</w:t>
      </w:r>
      <w:r>
        <w:t xml:space="preserve"> </w:t>
      </w:r>
      <w:r>
        <w:t xml:space="preserve">Lowest technical barrier, but the scale barrier is steep — bargaining power is monotonic with volume.</w:t>
      </w:r>
    </w:p>
    <w:p>
      <w:pPr>
        <w:pStyle w:val="BodyText"/>
      </w:pPr>
      <w:r>
        <w:rPr>
          <w:b/>
        </w:rPr>
        <w:t xml:space="preserve">(2) Smart Routing Arbitrage.</w:t>
      </w:r>
      <w:r>
        <w:t xml:space="preserve"> </w:t>
      </w:r>
      <w:r>
        <w:t xml:space="preserve">Each request is routed by the system to</w:t>
      </w:r>
      <w:r>
        <w:t xml:space="preserve"> </w:t>
      </w:r>
      <w:r>
        <w:t xml:space="preserve">“</w:t>
      </w:r>
      <w:r>
        <w:t xml:space="preserve">the cheapest model that meets quality.</w:t>
      </w:r>
      <w:r>
        <w:t xml:space="preserve">”</w:t>
      </w:r>
      <w:r>
        <w:t xml:space="preserve"> </w:t>
      </w:r>
      <w:r>
        <w:t xml:space="preserve">A classification task that an end user might assume requires Opus may, in fact, be answered correctly by Haiku at 1/15 the cost.</w:t>
      </w:r>
      <w:r>
        <w:t xml:space="preserve"> </w:t>
      </w:r>
      <w:r>
        <w:rPr>
          <w:b/>
        </w:rPr>
        <w:t xml:space="preserve">The user pays the service-quality price; the relay station incurs the actual cost; the difference is pure algorithmic dividend.</w:t>
      </w:r>
      <w:r>
        <w:t xml:space="preserve"> </w:t>
      </w:r>
      <w:r>
        <w:t xml:space="preserve">This product has a self-reinforcing moat: more data improves routing accuracy; better routing reduces cost; lower cost grows volume.</w:t>
      </w:r>
    </w:p>
    <w:p>
      <w:pPr>
        <w:pStyle w:val="BodyText"/>
      </w:pPr>
      <w:r>
        <w:rPr>
          <w:b/>
        </w:rPr>
        <w:t xml:space="preserve">(3) Token Futures / Forwards.</w:t>
      </w:r>
      <w:r>
        <w:t xml:space="preserve"> </w:t>
      </w:r>
      <w:r>
        <w:t xml:space="preserve">For large enterprise customers requiring price certainty, the Token Bank sells the right to consume N billion tokens at a fixed price 6–12 months out. The bank uses part of the proceeds to hedge upstream commitments and the rest for short-term yield generation.</w:t>
      </w:r>
      <w:r>
        <w:t xml:space="preserve"> </w:t>
      </w:r>
      <w:r>
        <w:rPr>
          <w:b/>
        </w:rPr>
        <w:t xml:space="preserve">Tokens thereby graduate from a consumption commodity to a hedgeable bulk commodity.</w:t>
      </w:r>
    </w:p>
    <w:p>
      <w:pPr>
        <w:pStyle w:val="BodyText"/>
      </w:pPr>
      <w:r>
        <w:rPr>
          <w:b/>
        </w:rPr>
        <w:t xml:space="preserve">(4) Token Credit Line.</w:t>
      </w:r>
      <w:r>
        <w:t xml:space="preserve"> </w:t>
      </w:r>
      <w:r>
        <w:t xml:space="preserve">Based on calling history and credit profile, qualified customers receive a use-now-pay-later allowance.</w:t>
      </w:r>
      <w:r>
        <w:t xml:space="preserve"> </w:t>
      </w:r>
      <w:r>
        <w:rPr>
          <w:b/>
        </w:rPr>
        <w:t xml:space="preserve">The API key itself functions as collateral</w:t>
      </w:r>
      <w:r>
        <w:t xml:space="preserve"> </w:t>
      </w:r>
      <w:r>
        <w:t xml:space="preserve">— default triggers immediate revocation. Bad-debt rates run materially lower than for SME lending in traditional banking.</w:t>
      </w:r>
    </w:p>
    <w:p>
      <w:pPr>
        <w:pStyle w:val="BodyText"/>
      </w:pPr>
      <w:r>
        <w:rPr>
          <w:b/>
        </w:rPr>
        <w:t xml:space="preserve">(5) Token Yield Note / Compute ETF.</w:t>
      </w:r>
      <w:r>
        <w:t xml:space="preserve"> </w:t>
      </w:r>
      <w:r>
        <w:t xml:space="preserve">The Token Bank packages its bulk-purchasing-plus-routing capability into a yield instrument. Institutions and high-net-worth individuals purchase the note; the relay station deploys the capital, and surplus capacity is sold back to the secondary market.</w:t>
      </w:r>
      <w:r>
        <w:t xml:space="preserve"> </w:t>
      </w:r>
      <w:r>
        <w:rPr>
          <w:b/>
        </w:rPr>
        <w:t xml:space="preserve">The note pays an 8%–15% annualized compute yield to holders.</w:t>
      </w:r>
      <w:r>
        <w:t xml:space="preserve"> </w:t>
      </w:r>
      <w:r>
        <w:t xml:space="preserve">This is the Token Bank’s gateway into asset management, and the most direct on-ramp for capital-market money into the AI compute economy.</w:t>
      </w:r>
    </w:p>
    <w:p>
      <w:pPr>
        <w:pStyle w:val="BodyText"/>
      </w:pPr>
      <w:r>
        <w:rPr>
          <w:b/>
        </w:rPr>
        <w:t xml:space="preserve">(6) Token SLA Insurance.</w:t>
      </w:r>
      <w:r>
        <w:t xml:space="preserve"> </w:t>
      </w:r>
      <w:r>
        <w:t xml:space="preserve">For enterprise clients concerned about model deprecation, rate-limiting, or price spikes, the Token Bank sells SLA insurance.</w:t>
      </w:r>
      <w:r>
        <w:t xml:space="preserve"> </w:t>
      </w:r>
      <w:r>
        <w:rPr>
          <w:b/>
        </w:rPr>
        <w:t xml:space="preserve">Premiums are nearly pure profit</w:t>
      </w:r>
      <w:r>
        <w:t xml:space="preserve"> </w:t>
      </w:r>
      <w:r>
        <w:t xml:space="preserve">because the Token Bank is itself the redundant routing party — claim probability is suppressed by its own engineering.</w:t>
      </w:r>
    </w:p>
    <w:p>
      <w:pPr>
        <w:pStyle w:val="BodyText"/>
      </w:pPr>
      <w:r>
        <w:t xml:space="preserve">These six products map cleanly onto traditional banking products: (1) → deposit-loan spread; (2) → proprietary trading; (3) → derivatives market making; (4) → consumer credit; (5) → asset management / ETFs; (6) → insurance and SLA swaps.</w:t>
      </w:r>
      <w:r>
        <w:t xml:space="preserve"> </w:t>
      </w:r>
      <w:r>
        <w:rPr>
          <w:b/>
        </w:rPr>
        <w:t xml:space="preserve">Product complexity in the Token Bank is on par with a mid-sized full-service financial institution.</w:t>
      </w:r>
    </w:p>
    <w:p>
      <w:pPr>
        <w:pStyle w:val="Heading2"/>
      </w:pPr>
      <w:bookmarkStart w:id="37" w:name="Xb7e0cfed219251edba81315e7a11890d849be23"/>
      <w:r>
        <w:t xml:space="preserve">8. The OPC Architecture: Open Platform and Clearinghouse</w:t>
      </w:r>
      <w:bookmarkEnd w:id="37"/>
    </w:p>
    <w:p>
      <w:pPr>
        <w:pStyle w:val="FirstParagraph"/>
      </w:pPr>
      <w:r>
        <w:t xml:space="preserve">A mature Token Bank inevitably evolves into an</w:t>
      </w:r>
      <w:r>
        <w:t xml:space="preserve"> </w:t>
      </w:r>
      <w:r>
        <w:rPr>
          <w:b/>
        </w:rPr>
        <w:t xml:space="preserve">Open Platform and Clearinghouse (OPC)</w:t>
      </w:r>
      <w:r>
        <w:t xml:space="preserve">. This architecture has five engineering layers:</w:t>
      </w:r>
    </w:p>
    <w:p>
      <w:pPr>
        <w:pStyle w:val="BodyText"/>
      </w:pPr>
      <w:r>
        <w:rPr>
          <w:b/>
        </w:rPr>
        <w:t xml:space="preserve">L0 — Settlement Substrate.</w:t>
      </w:r>
      <w:r>
        <w:t xml:space="preserve"> </w:t>
      </w:r>
      <w:r>
        <w:t xml:space="preserve">A high-TPS chain plus state channels and core smart contracts (PaymentChannel + MeteringOracle + EscrowVault). Every token call generates a verifiable usage receipt, batched on-chain.</w:t>
      </w:r>
    </w:p>
    <w:p>
      <w:pPr>
        <w:pStyle w:val="BodyText"/>
      </w:pPr>
      <w:r>
        <w:rPr>
          <w:b/>
        </w:rPr>
        <w:t xml:space="preserve">L1 — Model Router.</w:t>
      </w:r>
      <w:r>
        <w:t xml:space="preserve"> </w:t>
      </w:r>
      <w:r>
        <w:t xml:space="preserve">A unified API abstraction (OpenAI-compatible has emerged as the de facto standard) connecting all major commercial and open-source models.</w:t>
      </w:r>
    </w:p>
    <w:p>
      <w:pPr>
        <w:pStyle w:val="BodyText"/>
      </w:pPr>
      <w:r>
        <w:rPr>
          <w:b/>
        </w:rPr>
        <w:t xml:space="preserve">L2 — Arbitrage Engine.</w:t>
      </w:r>
      <w:r>
        <w:t xml:space="preserve"> </w:t>
      </w:r>
      <w:r>
        <w:t xml:space="preserve">Task classifier, shadow scoring, real-time routing, semantic caching.</w:t>
      </w:r>
      <w:r>
        <w:t xml:space="preserve"> </w:t>
      </w:r>
      <w:r>
        <w:rPr>
          <w:b/>
        </w:rPr>
        <w:t xml:space="preserve">The core profit center.</w:t>
      </w:r>
    </w:p>
    <w:p>
      <w:pPr>
        <w:pStyle w:val="BodyText"/>
      </w:pPr>
      <w:r>
        <w:rPr>
          <w:b/>
        </w:rPr>
        <w:t xml:space="preserve">L3 — Token Bank and Financial Product Layer.</w:t>
      </w:r>
      <w:r>
        <w:t xml:space="preserve"> </w:t>
      </w:r>
      <w:r>
        <w:t xml:space="preserve">Smart contracts and product logic for the six financial products defined above.</w:t>
      </w:r>
    </w:p>
    <w:p>
      <w:pPr>
        <w:pStyle w:val="BodyText"/>
      </w:pPr>
      <w:r>
        <w:rPr>
          <w:b/>
        </w:rPr>
        <w:t xml:space="preserve">L4 — User and Developer Front End.</w:t>
      </w:r>
      <w:r>
        <w:t xml:space="preserve"> </w:t>
      </w:r>
      <w:r>
        <w:t xml:space="preserve">SDK, dashboard, wallet (custodial + self-custody), optional KYC for compliance.</w:t>
      </w:r>
    </w:p>
    <w:p>
      <w:pPr>
        <w:pStyle w:val="BodyText"/>
      </w:pPr>
      <w:r>
        <w:rPr>
          <w:b/>
        </w:rPr>
        <w:t xml:space="preserve">The true asset of the OPC is the real-time data matrix sedimented at L0 + L2: cost across (every model × every task type × every price point).</w:t>
      </w:r>
      <w:r>
        <w:t xml:space="preserve"> </w:t>
      </w:r>
      <w:r>
        <w:t xml:space="preserve">This is the only credible single-source observation of the true cost curve of AI compute.</w:t>
      </w:r>
      <w:r>
        <w:t xml:space="preserve"> </w:t>
      </w:r>
      <w:r>
        <w:rPr>
          <w:b/>
        </w:rPr>
        <w:t xml:space="preserve">This data asset is the ultimate moat of the Token Bank.</w:t>
      </w:r>
    </w:p>
    <w:p>
      <w:pPr>
        <w:pStyle w:val="Heading2"/>
      </w:pPr>
      <w:bookmarkStart w:id="38" w:name="Xbf33c5d20f3adc196e902e4bab712d62ed50b88"/>
      <w:r>
        <w:t xml:space="preserve">9. A Structural Comparison with the GitHub Aggregation Model</w:t>
      </w:r>
      <w:bookmarkEnd w:id="38"/>
    </w:p>
    <w:p>
      <w:pPr>
        <w:pStyle w:val="FirstParagraph"/>
      </w:pPr>
      <w:r>
        <w:t xml:space="preserve">To place the Token Bank correctly within the technology-industry landscape, it must be distinguished from the most frequently invoked analogue: the GitHub aggregation model.</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GitHub Aggregation</w:t>
            </w:r>
          </w:p>
        </w:tc>
        <w:tc>
          <w:tcPr>
            <w:tcBorders>
              <w:bottom w:val="single"/>
            </w:tcBorders>
            <w:vAlign w:val="bottom"/>
          </w:tcPr>
          <w:p>
            <w:pPr>
              <w:pStyle w:val="Compact"/>
              <w:jc w:val="left"/>
            </w:pPr>
            <w:r>
              <w:t xml:space="preserve">Token Bank (Token Relay Station)</w:t>
            </w:r>
          </w:p>
        </w:tc>
      </w:tr>
      <w:tr>
        <w:tc>
          <w:p>
            <w:pPr>
              <w:pStyle w:val="Compact"/>
              <w:jc w:val="left"/>
            </w:pPr>
            <w:r>
              <w:t xml:space="preserve">Aggregated object</w:t>
            </w:r>
          </w:p>
        </w:tc>
        <w:tc>
          <w:p>
            <w:pPr>
              <w:pStyle w:val="Compact"/>
              <w:jc w:val="left"/>
            </w:pPr>
            <w:r>
              <w:t xml:space="preserve">Static code assets (stock)</w:t>
            </w:r>
          </w:p>
        </w:tc>
        <w:tc>
          <w:p>
            <w:pPr>
              <w:pStyle w:val="Compact"/>
              <w:jc w:val="left"/>
            </w:pPr>
            <w:r>
              <w:t xml:space="preserve">Dynamic compute calls (flow)</w:t>
            </w:r>
          </w:p>
        </w:tc>
      </w:tr>
      <w:tr>
        <w:tc>
          <w:p>
            <w:pPr>
              <w:pStyle w:val="Compact"/>
              <w:jc w:val="left"/>
            </w:pPr>
            <w:r>
              <w:t xml:space="preserve">Time property</w:t>
            </w:r>
          </w:p>
        </w:tc>
        <w:tc>
          <w:p>
            <w:pPr>
              <w:pStyle w:val="Compact"/>
              <w:jc w:val="left"/>
            </w:pPr>
            <w:r>
              <w:t xml:space="preserve">Upload once, read infinitely</w:t>
            </w:r>
          </w:p>
        </w:tc>
        <w:tc>
          <w:p>
            <w:pPr>
              <w:pStyle w:val="Compact"/>
              <w:jc w:val="left"/>
            </w:pPr>
            <w:r>
              <w:t xml:space="preserve">Call once, consume immediately</w:t>
            </w:r>
          </w:p>
        </w:tc>
      </w:tr>
      <w:tr>
        <w:tc>
          <w:p>
            <w:pPr>
              <w:pStyle w:val="Compact"/>
              <w:jc w:val="left"/>
            </w:pPr>
            <w:r>
              <w:t xml:space="preserve">Value density</w:t>
            </w:r>
          </w:p>
        </w:tc>
        <w:tc>
          <w:p>
            <w:pPr>
              <w:pStyle w:val="Compact"/>
              <w:jc w:val="left"/>
            </w:pPr>
            <w:r>
              <w:t xml:space="preserve">Long tail + network effects</w:t>
            </w:r>
          </w:p>
        </w:tc>
        <w:tc>
          <w:p>
            <w:pPr>
              <w:pStyle w:val="Compact"/>
              <w:jc w:val="left"/>
            </w:pPr>
            <w:r>
              <w:t xml:space="preserve">Real-time relevance + unit cost</w:t>
            </w:r>
          </w:p>
        </w:tc>
      </w:tr>
      <w:tr>
        <w:tc>
          <w:p>
            <w:pPr>
              <w:pStyle w:val="Compact"/>
              <w:jc w:val="left"/>
            </w:pPr>
            <w:r>
              <w:t xml:space="preserve">Primary cost</w:t>
            </w:r>
          </w:p>
        </w:tc>
        <w:tc>
          <w:p>
            <w:pPr>
              <w:pStyle w:val="Compact"/>
              <w:jc w:val="left"/>
            </w:pPr>
            <w:r>
              <w:t xml:space="preserve">Storage + bandwidth (very low marginal cost)</w:t>
            </w:r>
          </w:p>
        </w:tc>
        <w:tc>
          <w:p>
            <w:pPr>
              <w:pStyle w:val="Compact"/>
              <w:jc w:val="left"/>
            </w:pPr>
            <w:r>
              <w:t xml:space="preserve">Upstream API procurement (very high marginal cost)</w:t>
            </w:r>
          </w:p>
        </w:tc>
      </w:tr>
      <w:tr>
        <w:tc>
          <w:p>
            <w:pPr>
              <w:pStyle w:val="Compact"/>
              <w:jc w:val="left"/>
            </w:pPr>
            <w:r>
              <w:t xml:space="preserve">Gross margin</w:t>
            </w:r>
          </w:p>
        </w:tc>
        <w:tc>
          <w:p>
            <w:pPr>
              <w:pStyle w:val="Compact"/>
              <w:jc w:val="left"/>
            </w:pPr>
            <w:r>
              <w:t xml:space="preserve">SaaS-grade (80%+)</w:t>
            </w:r>
          </w:p>
        </w:tc>
        <w:tc>
          <w:p>
            <w:pPr>
              <w:pStyle w:val="Compact"/>
              <w:jc w:val="left"/>
            </w:pPr>
            <w:r>
              <w:t xml:space="preserve">Commodity-grade (10%–60%, lifted by routing + financialization)</w:t>
            </w:r>
          </w:p>
        </w:tc>
      </w:tr>
      <w:tr>
        <w:tc>
          <w:p>
            <w:pPr>
              <w:pStyle w:val="Compact"/>
              <w:jc w:val="left"/>
            </w:pPr>
            <w:r>
              <w:t xml:space="preserve">Network effect</w:t>
            </w:r>
          </w:p>
        </w:tc>
        <w:tc>
          <w:p>
            <w:pPr>
              <w:pStyle w:val="Compact"/>
              <w:jc w:val="left"/>
            </w:pPr>
            <w:r>
              <w:t xml:space="preserve">Code → developers → more code (community flywheel)</w:t>
            </w:r>
          </w:p>
        </w:tc>
        <w:tc>
          <w:p>
            <w:pPr>
              <w:pStyle w:val="Compact"/>
              <w:jc w:val="left"/>
            </w:pPr>
            <w:r>
              <w:t xml:space="preserve">Volume → data → routing → lower cost (cost flywheel)</w:t>
            </w:r>
          </w:p>
        </w:tc>
      </w:tr>
      <w:tr>
        <w:tc>
          <w:p>
            <w:pPr>
              <w:pStyle w:val="Compact"/>
              <w:jc w:val="left"/>
            </w:pPr>
            <w:r>
              <w:t xml:space="preserve">Lock-in</w:t>
            </w:r>
          </w:p>
        </w:tc>
        <w:tc>
          <w:p>
            <w:pPr>
              <w:pStyle w:val="Compact"/>
              <w:jc w:val="left"/>
            </w:pPr>
            <w:r>
              <w:t xml:space="preserve">Migration cost (git history, PRs, issues)</w:t>
            </w:r>
          </w:p>
        </w:tc>
        <w:tc>
          <w:p>
            <w:pPr>
              <w:pStyle w:val="Compact"/>
              <w:jc w:val="left"/>
            </w:pPr>
            <w:r>
              <w:t xml:space="preserve">Integration cost (API embedded in business flow)</w:t>
            </w:r>
          </w:p>
        </w:tc>
      </w:tr>
      <w:tr>
        <w:tc>
          <w:p>
            <w:pPr>
              <w:pStyle w:val="Compact"/>
              <w:jc w:val="left"/>
            </w:pPr>
            <w:r>
              <w:t xml:space="preserve">Primary monetization</w:t>
            </w:r>
          </w:p>
        </w:tc>
        <w:tc>
          <w:p>
            <w:pPr>
              <w:pStyle w:val="Compact"/>
              <w:jc w:val="left"/>
            </w:pPr>
            <w:r>
              <w:t xml:space="preserve">Subscription + value-add services</w:t>
            </w:r>
          </w:p>
        </w:tc>
        <w:tc>
          <w:p>
            <w:pPr>
              <w:pStyle w:val="Compact"/>
              <w:jc w:val="left"/>
            </w:pPr>
            <w:r>
              <w:t xml:space="preserve">Spread + financial derivatives</w:t>
            </w:r>
          </w:p>
        </w:tc>
      </w:tr>
      <w:tr>
        <w:tc>
          <w:p>
            <w:pPr>
              <w:pStyle w:val="Compact"/>
              <w:jc w:val="left"/>
            </w:pPr>
            <w:r>
              <w:t xml:space="preserve">Data asset</w:t>
            </w:r>
          </w:p>
        </w:tc>
        <w:tc>
          <w:p>
            <w:pPr>
              <w:pStyle w:val="Compact"/>
              <w:jc w:val="left"/>
            </w:pPr>
            <w:r>
              <w:t xml:space="preserve">Code corpora</w:t>
            </w:r>
          </w:p>
        </w:tc>
        <w:tc>
          <w:p>
            <w:pPr>
              <w:pStyle w:val="Compact"/>
              <w:jc w:val="left"/>
            </w:pPr>
            <w:r>
              <w:t xml:space="preserve">Real-time AI compute cost matrix</w:t>
            </w:r>
          </w:p>
        </w:tc>
      </w:tr>
      <w:tr>
        <w:tc>
          <w:p>
            <w:pPr>
              <w:pStyle w:val="Compact"/>
              <w:jc w:val="left"/>
            </w:pPr>
            <w:r>
              <w:t xml:space="preserve">Regulatory surface</w:t>
            </w:r>
          </w:p>
        </w:tc>
        <w:tc>
          <w:p>
            <w:pPr>
              <w:pStyle w:val="Compact"/>
              <w:jc w:val="left"/>
            </w:pPr>
            <w:r>
              <w:t xml:space="preserve">IP / open-source licenses / export control</w:t>
            </w:r>
          </w:p>
        </w:tc>
        <w:tc>
          <w:p>
            <w:pPr>
              <w:pStyle w:val="Compact"/>
              <w:jc w:val="left"/>
            </w:pPr>
            <w:r>
              <w:t xml:space="preserve">Financial licensing / AML / cross-border payments</w:t>
            </w:r>
          </w:p>
        </w:tc>
      </w:tr>
      <w:tr>
        <w:tc>
          <w:p>
            <w:pPr>
              <w:pStyle w:val="Compact"/>
              <w:jc w:val="left"/>
            </w:pPr>
            <w:r>
              <w:t xml:space="preserve">Industry analogue</w:t>
            </w:r>
          </w:p>
        </w:tc>
        <w:tc>
          <w:p>
            <w:pPr>
              <w:pStyle w:val="Compact"/>
              <w:jc w:val="left"/>
            </w:pPr>
            <w:r>
              <w:t xml:space="preserve">Library + publisher</w:t>
            </w:r>
          </w:p>
        </w:tc>
        <w:tc>
          <w:p>
            <w:pPr>
              <w:pStyle w:val="Compact"/>
              <w:jc w:val="left"/>
            </w:pPr>
            <w:r>
              <w:t xml:space="preserve">Power grid + bank + commodity exchange</w:t>
            </w:r>
          </w:p>
        </w:tc>
      </w:tr>
    </w:tbl>
    <w:p>
      <w:pPr>
        <w:pStyle w:val="BodyText"/>
      </w:pPr>
      <w:r>
        <w:rPr>
          <w:b/>
        </w:rPr>
        <w:t xml:space="preserve">The deepest difference lies in flywheel velocity.</w:t>
      </w:r>
      <w:r>
        <w:t xml:space="preserve"> </w:t>
      </w:r>
      <w:r>
        <w:t xml:space="preserve">GitHub’s flywheel is slow but durable — fifteen years of accumulation. The Token Bank’s flywheel is fast but fragile — an optimal routing strategy can be obsoleted in six months by a single architecture shift in the underlying models. This single difference dictates fundamentally different operating tempos and strategic postures for the two organizational species.</w:t>
      </w:r>
    </w:p>
    <w:p>
      <w:pPr>
        <w:pStyle w:val="Heading2"/>
      </w:pPr>
      <w:bookmarkStart w:id="39" w:name="Xc07a3a104bb2d5d8a391d6af1636fdd3f5164f5"/>
      <w:r>
        <w:t xml:space="preserve">10. Implementation Considerations and Systemic Risks</w:t>
      </w:r>
      <w:bookmarkEnd w:id="39"/>
    </w:p>
    <w:p>
      <w:pPr>
        <w:pStyle w:val="FirstParagraph"/>
      </w:pPr>
      <w:r>
        <w:t xml:space="preserve">The rise of the Token Bank brings with it four classes of systemic risk, which this section briefly catalogues.</w:t>
      </w:r>
    </w:p>
    <w:p>
      <w:pPr>
        <w:pStyle w:val="BodyText"/>
      </w:pPr>
      <w:r>
        <w:rPr>
          <w:b/>
        </w:rPr>
        <w:t xml:space="preserve">(1) Regulatory risk.</w:t>
      </w:r>
      <w:r>
        <w:t xml:space="preserve"> </w:t>
      </w:r>
      <w:r>
        <w:t xml:space="preserve">Cross-border digital currency settlement, credit lending, and derivative issuance fall under financial regulation in nearly every jurisdiction. The Token Bank’s compliance pathway cannot mirror that of a</w:t>
      </w:r>
      <w:r>
        <w:t xml:space="preserve"> </w:t>
      </w:r>
      <w:r>
        <w:t xml:space="preserve">“</w:t>
      </w:r>
      <w:r>
        <w:t xml:space="preserve">consumer internet product</w:t>
      </w:r>
      <w:r>
        <w:t xml:space="preserve">”</w:t>
      </w:r>
      <w:r>
        <w:t xml:space="preserve">; it must engage financial-license pathways and AML frameworks from inception.</w:t>
      </w:r>
    </w:p>
    <w:p>
      <w:pPr>
        <w:pStyle w:val="BodyText"/>
      </w:pPr>
      <w:r>
        <w:rPr>
          <w:b/>
        </w:rPr>
        <w:t xml:space="preserve">(2) Upstream dependency risk.</w:t>
      </w:r>
      <w:r>
        <w:t xml:space="preserve"> </w:t>
      </w:r>
      <w:r>
        <w:t xml:space="preserve">Model providers may bypass relay stations to build their own retail channels, or unilaterally amend commercial terms.</w:t>
      </w:r>
      <w:r>
        <w:t xml:space="preserve"> </w:t>
      </w:r>
      <w:r>
        <w:rPr>
          <w:b/>
        </w:rPr>
        <w:t xml:space="preserve">Multi-upstream diversification, in-house fine-tuned models, and depth in the Chinese open-source stack</w:t>
      </w:r>
      <w:r>
        <w:t xml:space="preserve"> </w:t>
      </w:r>
      <w:r>
        <w:t xml:space="preserve">are the necessary hedges.</w:t>
      </w:r>
    </w:p>
    <w:p>
      <w:pPr>
        <w:pStyle w:val="BodyText"/>
      </w:pPr>
      <w:r>
        <w:rPr>
          <w:b/>
        </w:rPr>
        <w:t xml:space="preserve">(3) Technology obsolescence risk.</w:t>
      </w:r>
      <w:r>
        <w:t xml:space="preserve"> </w:t>
      </w:r>
      <w:r>
        <w:t xml:space="preserve">A breakthrough in compute efficiency — MoE, sparsification, novel inference silicon — may instantly reshape the cost structure, rendering current routing strategies inert. The Token Bank must maintain algorithmic iteration cadence at the frontier.</w:t>
      </w:r>
    </w:p>
    <w:p>
      <w:pPr>
        <w:pStyle w:val="BodyText"/>
      </w:pPr>
      <w:r>
        <w:rPr>
          <w:b/>
        </w:rPr>
        <w:t xml:space="preserve">(4) Credit risk.</w:t>
      </w:r>
      <w:r>
        <w:t xml:space="preserve"> </w:t>
      </w:r>
      <w:r>
        <w:t xml:space="preserve">Both credit lines and Token Futures carry credit exposure. Bad-debt management and counterparty risk discipline must scale with volume; otherwise volume becomes risk.</w:t>
      </w:r>
    </w:p>
    <w:p>
      <w:pPr>
        <w:pStyle w:val="BodyText"/>
      </w:pPr>
      <w:r>
        <w:rPr>
          <w:b/>
        </w:rPr>
        <w:t xml:space="preserve">Of the four, regulatory risk is the most underestimated</w:t>
      </w:r>
      <w:r>
        <w:t xml:space="preserve"> </w:t>
      </w:r>
      <w:r>
        <w:t xml:space="preserve">— precisely because the financial substance of the Token Bank is robust, regulators will, sooner or later, take notice of this new category. First-movers should engage regulators proactively to establish a favorable position within a forthcoming</w:t>
      </w:r>
      <w:r>
        <w:t xml:space="preserve"> </w:t>
      </w:r>
      <w:r>
        <w:t xml:space="preserve">“</w:t>
      </w:r>
      <w:r>
        <w:t xml:space="preserve">AI Compute Finance</w:t>
      </w:r>
      <w:r>
        <w:t xml:space="preserve">”</w:t>
      </w:r>
      <w:r>
        <w:t xml:space="preserve"> </w:t>
      </w:r>
      <w:r>
        <w:t xml:space="preserve">regulatory category.</w:t>
      </w:r>
    </w:p>
    <w:p>
      <w:pPr>
        <w:pStyle w:val="Heading2"/>
      </w:pPr>
      <w:bookmarkStart w:id="40" w:name="conclusion"/>
      <w:r>
        <w:t xml:space="preserve">11. Conclusion</w:t>
      </w:r>
      <w:bookmarkEnd w:id="40"/>
    </w:p>
    <w:p>
      <w:pPr>
        <w:pStyle w:val="FirstParagraph"/>
      </w:pPr>
      <w:r>
        <w:t xml:space="preserve">This paper has substantiated an independently formulated thesis:</w:t>
      </w:r>
      <w:r>
        <w:t xml:space="preserve"> </w:t>
      </w:r>
      <w:r>
        <w:rPr>
          <w:b/>
        </w:rPr>
        <w:t xml:space="preserve">an AI Token Relay Station is, in its functional substance, a Token Bank.</w:t>
      </w:r>
      <w:r>
        <w:t xml:space="preserve"> </w:t>
      </w:r>
      <w:r>
        <w:t xml:space="preserve">The thesis is not metaphor; it is structural equivalence grounded in function-mapping. A Token Relay Station fully replicates the four banking functions — aggregation, maturity transformation, risk pooling, and credit creation — and from this foundation a complete financial-product matrix spanning spread banking, proprietary routing arbitrage, derivatives, retail credit, asset management, and insurance can be derived.</w:t>
      </w:r>
    </w:p>
    <w:p>
      <w:pPr>
        <w:pStyle w:val="BodyText"/>
      </w:pPr>
      <w:r>
        <w:t xml:space="preserve">The Token Bank, as a new species of</w:t>
      </w:r>
      <w:r>
        <w:t xml:space="preserve"> </w:t>
      </w:r>
      <w:r>
        <w:rPr>
          <w:b/>
        </w:rPr>
        <w:t xml:space="preserve">Virtual Bank</w:t>
      </w:r>
      <w:r>
        <w:t xml:space="preserve">, intrinsically operates with digital currency as its primary settlement medium and offers Compute Lending — collateralized token purchase — as a unique financial product. Its engineering form is the</w:t>
      </w:r>
      <w:r>
        <w:t xml:space="preserve"> </w:t>
      </w:r>
      <w:r>
        <w:rPr>
          <w:b/>
        </w:rPr>
        <w:t xml:space="preserve">Open Platform and Clearinghouse (OPC)</w:t>
      </w:r>
      <w:r>
        <w:t xml:space="preserve">, and its ultimate moat is the real-time</w:t>
      </w:r>
      <w:r>
        <w:t xml:space="preserve"> </w:t>
      </w:r>
      <w:r>
        <w:t xml:space="preserve">“</w:t>
      </w:r>
      <w:r>
        <w:t xml:space="preserve">all-models × all-tasks × all-prices</w:t>
      </w:r>
      <w:r>
        <w:t xml:space="preserve">”</w:t>
      </w:r>
      <w:r>
        <w:t xml:space="preserve"> </w:t>
      </w:r>
      <w:r>
        <w:t xml:space="preserve">data matrix.</w:t>
      </w:r>
    </w:p>
    <w:p>
      <w:pPr>
        <w:pStyle w:val="BodyText"/>
      </w:pPr>
      <w:r>
        <w:t xml:space="preserve">The industrial implication of this thesis is direct:</w:t>
      </w:r>
      <w:r>
        <w:t xml:space="preserve"> </w:t>
      </w:r>
      <w:r>
        <w:rPr>
          <w:b/>
        </w:rPr>
        <w:t xml:space="preserve">the majority of relay stations currently positioning themselves as</w:t>
      </w:r>
      <w:r>
        <w:rPr>
          <w:b/>
        </w:rPr>
        <w:t xml:space="preserve"> </w:t>
      </w:r>
      <w:r>
        <w:rPr>
          <w:b/>
        </w:rPr>
        <w:t xml:space="preserve">“</w:t>
      </w:r>
      <w:r>
        <w:rPr>
          <w:b/>
        </w:rPr>
        <w:t xml:space="preserve">API gateways</w:t>
      </w:r>
      <w:r>
        <w:rPr>
          <w:b/>
        </w:rPr>
        <w:t xml:space="preserve">”</w:t>
      </w:r>
      <w:r>
        <w:rPr>
          <w:b/>
        </w:rPr>
        <w:t xml:space="preserve"> </w:t>
      </w:r>
      <w:r>
        <w:rPr>
          <w:b/>
        </w:rPr>
        <w:t xml:space="preserve">or</w:t>
      </w:r>
      <w:r>
        <w:rPr>
          <w:b/>
        </w:rPr>
        <w:t xml:space="preserve"> </w:t>
      </w:r>
      <w:r>
        <w:rPr>
          <w:b/>
        </w:rPr>
        <w:t xml:space="preserve">“</w:t>
      </w:r>
      <w:r>
        <w:rPr>
          <w:b/>
        </w:rPr>
        <w:t xml:space="preserve">API aggregators</w:t>
      </w:r>
      <w:r>
        <w:rPr>
          <w:b/>
        </w:rPr>
        <w:t xml:space="preserve">”</w:t>
      </w:r>
      <w:r>
        <w:rPr>
          <w:b/>
        </w:rPr>
        <w:t xml:space="preserve"> </w:t>
      </w:r>
      <w:r>
        <w:rPr>
          <w:b/>
        </w:rPr>
        <w:t xml:space="preserve">are materially underestimating their reachable commercial ceiling.</w:t>
      </w:r>
      <w:r>
        <w:t xml:space="preserve"> </w:t>
      </w:r>
      <w:r>
        <w:t xml:space="preserve">Through a reseller lens, this is a 10%-margin distribution business. Through a Token Bank lens, this is a 50%+-margin financial business that scales exponentially with AI penetration.</w:t>
      </w:r>
    </w:p>
    <w:p>
      <w:pPr>
        <w:pStyle w:val="BodyText"/>
      </w:pPr>
      <w:r>
        <w:t xml:space="preserve">Future research directions include: (a) optimal regulatory sandbox models for the Token Bank; (b) cross-chain Token settlement protocol unification; (c) pricing models for compute derivatives; (d) inter-bank lending and reinsurance mechanisms among Token Banks. These are not developed here.</w:t>
      </w:r>
    </w:p>
    <w:p>
      <w:r>
        <w:pict>
          <v:rect style="width:0;height:1.5pt" o:hralign="center" o:hrstd="t" o:hr="t"/>
        </w:pict>
      </w:r>
    </w:p>
    <w:p>
      <w:pPr>
        <w:pStyle w:val="Heading2"/>
      </w:pPr>
      <w:bookmarkStart w:id="41" w:name="acknowledgments"/>
      <w:r>
        <w:t xml:space="preserve">Acknowledgments</w:t>
      </w:r>
      <w:bookmarkEnd w:id="41"/>
    </w:p>
    <w:p>
      <w:pPr>
        <w:pStyle w:val="FirstParagraph"/>
      </w:pPr>
      <w:r>
        <w:t xml:space="preserve">The author thanks the global community of researchers, practitioners, and early builders in the AI compute economy whose published work and product behavior have informed the contextual framing of this paper. The paper is in dialogue with publicly developed discussions on AI-crypto convergence, the token economy, and compute financialization.</w:t>
      </w:r>
      <w:r>
        <w:t xml:space="preserve"> </w:t>
      </w:r>
      <w:r>
        <w:rPr>
          <w:b/>
        </w:rPr>
        <w:t xml:space="preserve">The core thesis defended in this paper —</w:t>
      </w:r>
      <w:r>
        <w:rPr>
          <w:b/>
        </w:rPr>
        <w:t xml:space="preserve"> </w:t>
      </w:r>
      <w:r>
        <w:rPr>
          <w:b/>
        </w:rPr>
        <w:t xml:space="preserve">“</w:t>
      </w:r>
      <w:r>
        <w:rPr>
          <w:b/>
        </w:rPr>
        <w:t xml:space="preserve">A Token Relay Station Is a Token Bank</w:t>
      </w:r>
      <w:r>
        <w:rPr>
          <w:b/>
        </w:rPr>
        <w:t xml:space="preserve">”</w:t>
      </w:r>
      <w:r>
        <w:rPr>
          <w:b/>
        </w:rPr>
        <w:t xml:space="preserve"> </w:t>
      </w:r>
      <w:r>
        <w:rPr>
          <w:b/>
        </w:rPr>
        <w:t xml:space="preserve">— together with the four-function mapping, the Virtual Bank definition, and the six-product financial matrix as a synthesized framework, is the independent original work of the author.</w:t>
      </w:r>
    </w:p>
    <w:p>
      <w:pPr>
        <w:pStyle w:val="Heading2"/>
      </w:pPr>
      <w:bookmarkStart w:id="42" w:name="references-selected-public-sources"/>
      <w:r>
        <w:t xml:space="preserve">References (Selected Public Sources)</w:t>
      </w:r>
      <w:bookmarkEnd w:id="42"/>
    </w:p>
    <w:p>
      <w:pPr>
        <w:numPr>
          <w:ilvl w:val="0"/>
          <w:numId w:val="1007"/>
        </w:numPr>
        <w:pStyle w:val="Compact"/>
      </w:pPr>
      <w:r>
        <w:t xml:space="preserve">Huatai Securities. (2026).</w:t>
      </w:r>
      <w:r>
        <w:t xml:space="preserve"> </w:t>
      </w:r>
      <w:r>
        <w:rPr>
          <w:i/>
        </w:rPr>
        <w:t xml:space="preserve">Scenario Tokens Reshape AI Application Business Models.</w:t>
      </w:r>
    </w:p>
    <w:p>
      <w:pPr>
        <w:numPr>
          <w:ilvl w:val="0"/>
          <w:numId w:val="1007"/>
        </w:numPr>
        <w:pStyle w:val="Compact"/>
      </w:pPr>
      <w:r>
        <w:t xml:space="preserve">Xinhua News Agency. (2026).</w:t>
      </w:r>
      <w:r>
        <w:t xml:space="preserve"> </w:t>
      </w:r>
      <w:r>
        <w:rPr>
          <w:i/>
        </w:rPr>
        <w:t xml:space="preserve">Tokens Reconstruct the Business Ecology of the AI Era.</w:t>
      </w:r>
    </w:p>
    <w:p>
      <w:pPr>
        <w:numPr>
          <w:ilvl w:val="0"/>
          <w:numId w:val="1007"/>
        </w:numPr>
        <w:pStyle w:val="Compact"/>
      </w:pPr>
      <w:r>
        <w:t xml:space="preserve">CCTV News. (2026).</w:t>
      </w:r>
      <w:r>
        <w:t xml:space="preserve"> </w:t>
      </w:r>
      <w:r>
        <w:rPr>
          <w:i/>
        </w:rPr>
        <w:t xml:space="preserve">4.69 Trillion Tokens: Behind China’s AI Model Pricing Advantage.</w:t>
      </w:r>
    </w:p>
    <w:p>
      <w:pPr>
        <w:numPr>
          <w:ilvl w:val="0"/>
          <w:numId w:val="1007"/>
        </w:numPr>
        <w:pStyle w:val="Compact"/>
      </w:pPr>
      <w:r>
        <w:t xml:space="preserve">Bank for International Settlements. (2024).</w:t>
      </w:r>
      <w:r>
        <w:t xml:space="preserve"> </w:t>
      </w:r>
      <w:r>
        <w:rPr>
          <w:i/>
        </w:rPr>
        <w:t xml:space="preserve">API Standards for Data-Sharing.</w:t>
      </w:r>
    </w:p>
    <w:p>
      <w:pPr>
        <w:numPr>
          <w:ilvl w:val="0"/>
          <w:numId w:val="1007"/>
        </w:numPr>
        <w:pStyle w:val="Compact"/>
      </w:pPr>
      <w:r>
        <w:t xml:space="preserve">arXiv:2505.21627. (2025).</w:t>
      </w:r>
      <w:r>
        <w:t xml:space="preserve"> </w:t>
      </w:r>
      <w:r>
        <w:rPr>
          <w:i/>
        </w:rPr>
        <w:t xml:space="preserve">Is Your LLM Overcharging You? Tokenization, Transparency, and Incentives.</w:t>
      </w:r>
    </w:p>
    <w:p>
      <w:pPr>
        <w:numPr>
          <w:ilvl w:val="0"/>
          <w:numId w:val="1007"/>
        </w:numPr>
        <w:pStyle w:val="Compact"/>
      </w:pPr>
      <w:r>
        <w:t xml:space="preserve">Chainlink. (2024).</w:t>
      </w:r>
      <w:r>
        <w:t xml:space="preserve"> </w:t>
      </w:r>
      <w:r>
        <w:rPr>
          <w:i/>
        </w:rPr>
        <w:t xml:space="preserve">Tokenized Lending: The Future of Credit.</w:t>
      </w:r>
    </w:p>
    <w:p>
      <w:pPr>
        <w:numPr>
          <w:ilvl w:val="0"/>
          <w:numId w:val="1007"/>
        </w:numPr>
        <w:pStyle w:val="Compact"/>
      </w:pPr>
      <w:r>
        <w:t xml:space="preserve">KuCoin Research. (2025).</w:t>
      </w:r>
      <w:r>
        <w:t xml:space="preserve"> </w:t>
      </w:r>
      <w:r>
        <w:rPr>
          <w:i/>
        </w:rPr>
        <w:t xml:space="preserve">From LLM to Tokens: AI and Crypto Convergence.</w:t>
      </w:r>
    </w:p>
    <w:p>
      <w:r>
        <w:pict>
          <v:rect style="width:0;height:1.5pt" o:hralign="center" o:hrstd="t" o:hr="t"/>
        </w:pict>
      </w:r>
    </w:p>
    <w:p>
      <w:pPr>
        <w:pStyle w:val="Heading2"/>
      </w:pPr>
      <w:bookmarkStart w:id="43" w:name="declaration-of-intellectual-independence"/>
      <w:r>
        <w:t xml:space="preserve">Declaration of Intellectual Independence</w:t>
      </w:r>
      <w:bookmarkEnd w:id="43"/>
    </w:p>
    <w:p>
      <w:pPr>
        <w:pStyle w:val="FirstParagraph"/>
      </w:pPr>
      <w:r>
        <w:t xml:space="preserve">The author,</w:t>
      </w:r>
      <w:r>
        <w:t xml:space="preserve"> </w:t>
      </w:r>
      <w:r>
        <w:rPr>
          <w:b/>
        </w:rPr>
        <w:t xml:space="preserve">GAVIN KIM</w:t>
      </w:r>
      <w:r>
        <w:t xml:space="preserve"> </w:t>
      </w:r>
      <w:r>
        <w:t xml:space="preserve">(J&amp;P, Thailand; thaibuddy.ai@gmail.com), hereby declares that the central thesis of this paper —</w:t>
      </w:r>
      <w:r>
        <w:t xml:space="preserve"> </w:t>
      </w:r>
      <w:r>
        <w:rPr>
          <w:i/>
        </w:rPr>
        <w:t xml:space="preserve">“</w:t>
      </w:r>
      <w:r>
        <w:rPr>
          <w:i/>
        </w:rPr>
        <w:t xml:space="preserve">A Token Relay Station Is a Token Bank</w:t>
      </w:r>
      <w:r>
        <w:rPr>
          <w:i/>
        </w:rPr>
        <w:t xml:space="preserve">”</w:t>
      </w:r>
      <w:r>
        <w:t xml:space="preserve"> </w:t>
      </w:r>
      <w:r>
        <w:t xml:space="preserve">— together with the complete four-function banking mapping in the context of token relay stations, the definition of the Token Bank as a form of Virtual Bank, and the derived six-product financial matrix,</w:t>
      </w:r>
      <w:r>
        <w:t xml:space="preserve"> </w:t>
      </w:r>
      <w:r>
        <w:rPr>
          <w:b/>
        </w:rPr>
        <w:t xml:space="preserve">constitutes an original theoretical framework independently formulated by the author and first published on May 6, 2026</w:t>
      </w:r>
      <w:r>
        <w:t xml:space="preserve">. This work is released under the CC BY 4.0 license and is open to citation, extension, and commercial use, provided proper attribution is preserved. The paper makes no claim regarding the commercial ownership of any specific company, project, or individual; the framework presented is a categorical analysis at the level of industry structure.</w:t>
      </w:r>
    </w:p>
    <w:p>
      <w:r>
        <w:pict>
          <v:rect style="width:0;height:1.5pt" o:hralign="center" o:hrstd="t" o:hr="t"/>
        </w:pict>
      </w:r>
    </w:p>
    <w:p>
      <w:pPr>
        <w:pStyle w:val="FirstParagraph"/>
      </w:pPr>
      <w:r>
        <w:rPr>
          <w:b/>
        </w:rPr>
        <w:t xml:space="preserve">Version Log</w:t>
      </w:r>
      <w:r>
        <w:t xml:space="preserve"> </w:t>
      </w:r>
      <w:r>
        <w:t xml:space="preserve">- v1.0 — 2026-05-06 — First public release.</w:t>
      </w:r>
    </w:p>
    <w:p>
      <w:pPr>
        <w:pStyle w:val="BodyText"/>
      </w:pPr>
      <w:r>
        <w:rPr>
          <w:b/>
        </w:rPr>
        <w:t xml:space="preserve">Contact</w:t>
      </w:r>
      <w:r>
        <w:t xml:space="preserve"> </w:t>
      </w:r>
      <w:r>
        <w:t xml:space="preserve">- Author: GAVIN KIM</w:t>
      </w:r>
      <w:r>
        <w:t xml:space="preserve"> </w:t>
      </w:r>
      <w:r>
        <w:t xml:space="preserve">- Affiliation: J&amp;P (Thailand)</w:t>
      </w:r>
      <w:r>
        <w:t xml:space="preserve"> </w:t>
      </w:r>
      <w:r>
        <w:t xml:space="preserve">- Email: thaibuddy.ai@gmail.com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Token Relay Station Is a Token Bank: A Theoretical Framework for AI Compute Financialization</dc:title>
  <dc:creator>GAVIN KIM (J&amp;P, Thailand)</dc:creator>
  <cp:keywords/>
  <dcterms:created xsi:type="dcterms:W3CDTF">2026-05-06T05:07:55Z</dcterms:created>
  <dcterms:modified xsi:type="dcterms:W3CDTF">2026-05-06T05:07:55Z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6, 2026</vt:lpwstr>
  </property>
</Properties>
</file>