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top w:val="nil"/>
          <w:left w:val="nil"/>
          <w:bottom w:val="nil"/>
          <w:right w:val="nil"/>
          <w:between w:val="nil"/>
          <w:bar w:val="nil"/>
        </w:pBdr>
      </w:pPr>
      <w:r>
        <w:t>BÁO CÁO PHẦN VISION</w:t>
      </w:r>
    </w:p>
    <w:p>
      <w:pPr>
        <w:spacing w:after="160"/>
        <w:jc w:val="center"/>
      </w:pPr>
      <w:r>
        <w:rPr>
          <w:rFonts w:ascii="Times New Roman" w:hAnsi="Times New Roman"/>
          <w:i/>
          <w:color w:val="555555"/>
          <w:sz w:val="22"/>
        </w:rPr>
        <w:t>Hệ thống thị giác thời gian thực cho robot Moon</w:t>
      </w:r>
    </w:p>
    <w:p>
      <w:pPr>
        <w:pStyle w:val="Heading1"/>
      </w:pPr>
      <w:r>
        <w:t>1. Mục tiêu và phạm vi</w:t>
      </w:r>
    </w:p>
    <w:p>
      <w:r>
        <w:rPr>
          <w:i w:val="0"/>
        </w:rPr>
        <w:t>Vision giúp Moon quan sát người dùng qua camera và chuyển các tín hiệu hình ảnh thành dữ liệu có cấu trúc cho Brain. Hệ thống tập trung vào một người tương tác chính, theo dõi khuôn mặt, đầu, mắt, cánh tay, bàn tay và đồ vật trong thời gian thực. Vision chỉ cung cấp thông tin quan sát; Brain hoặc tầng điều khiển mới quyết định phản ứng của robot, vì vậy kết quả nhận diện không được dùng để phát lệnh motor trực tiếp.</w:t>
      </w:r>
    </w:p>
    <w:p>
      <w:pPr>
        <w:pStyle w:val="Heading1"/>
      </w:pPr>
      <w:r>
        <w:t>2. Kiến trúc xử lý</w:t>
      </w:r>
    </w:p>
    <w:tbl>
      <w:tblPr>
        <w:tblW w:type="auto" w:w="0"/>
        <w:jc w:val="center"/>
        <w:tblLayout w:type="fixed"/>
        <w:tblLook w:firstColumn="1" w:firstRow="1" w:lastColumn="0" w:lastRow="0" w:noHBand="0" w:noVBand="1" w:val="04A0"/>
      </w:tblPr>
      <w:tblGrid>
        <w:gridCol w:w="9524"/>
      </w:tblGrid>
      <w:tr>
        <w:tc>
          <w:tcPr>
            <w:tcW w:type="dxa" w:w="9837"/>
            <w:shd w:fill="F2F6FA"/>
            <w:tcBorders>
              <w:top w:val="single" w:sz="5" w:color="C8D6E5"/>
              <w:left w:val="single" w:sz="5" w:color="C8D6E5"/>
              <w:bottom w:val="single" w:sz="5" w:color="C8D6E5"/>
              <w:right w:val="single" w:sz="5" w:color="C8D6E5"/>
              <w:insideH w:val="single" w:sz="5" w:color="C8D6E5"/>
              <w:insideV w:val="single" w:sz="5" w:color="C8D6E5"/>
            </w:tcBorders>
            <w:tcMar>
              <w:top w:w="105" w:type="dxa"/>
              <w:start w:w="140" w:type="dxa"/>
              <w:bottom w:w="105" w:type="dxa"/>
              <w:end w:w="140" w:type="dxa"/>
            </w:tcMar>
          </w:tcPr>
          <w:p>
            <w:pPr>
              <w:spacing w:after="0"/>
              <w:jc w:val="center"/>
            </w:pPr>
            <w:r>
              <w:rPr>
                <w:rFonts w:ascii="Times New Roman" w:hAnsi="Times New Roman"/>
                <w:b/>
                <w:sz w:val="20"/>
              </w:rPr>
              <w:t>Camera → theo dõi người dùng → phân tích đa tín hiệu → ổn định theo thời gian → MQTT/JPEG → Brain và Dashboard</w:t>
            </w:r>
          </w:p>
        </w:tc>
      </w:tr>
    </w:tbl>
    <w:p>
      <w:pPr>
        <w:spacing w:after="80"/>
      </w:pPr>
      <w:r>
        <w:rPr>
          <w:i w:val="0"/>
        </w:rPr>
        <w:t>Pipeline sử dụng nhiều mô hình nền gồm YuNet và SFace cho khuôn mặt, FER+ và MediaPipe cho biểu cảm, đầu, mắt và bàn tay, cùng YOLOv8 cho tư thế phần thân trên và đồ vật. Phần phát triển riêng của dự án nằm ở việc ghép các nguồn tín hiệu, theo dõi người đang tương tác, xác nhận hành động qua nhiều frame, loại bỏ dữ liệu cũ và chuẩn hóa kết quả để gửi qua MQTT.</w:t>
      </w:r>
    </w:p>
    <w:p>
      <w:r>
        <w:rPr>
          <w:i w:val="0"/>
        </w:rPr>
        <w:t>Camera luôn ưu tiên frame mới nhất thay vì tạo hàng đợi. Các nhánh AI chạy theo tần suất riêng để giảm tải; nếu một mô hình lỗi hoặc thiếu, các nhánh còn lại vẫn có thể tiếp tục hoạt động. Ảnh JPEG được gửi cho phần xem trước, còn trạng thái Vision được gửi cho Brain và Dashboard.</w:t>
      </w:r>
    </w:p>
    <w:p>
      <w:pPr>
        <w:pStyle w:val="Heading1"/>
      </w:pPr>
      <w:r>
        <w:t>3. Chức năng đã hoàn thành</w:t>
      </w:r>
    </w:p>
    <w:p>
      <w:pPr>
        <w:pStyle w:val="VisionBullet"/>
      </w:pPr>
      <w:r>
        <w:t xml:space="preserve">• </w:t>
      </w:r>
      <w:r>
        <w:rPr>
          <w:b/>
        </w:rPr>
        <w:t xml:space="preserve">Khuôn mặt và danh tính: </w:t>
      </w:r>
      <w:r>
        <w:t>phát hiện, theo dõi khuôn mặt chính và phân loại chủ nhân hoặc khách từ mẫu đã đăng ký. Dữ liệu nhận diện được xóa khi người dùng rời khung hình hoặc thay đổi đối tượng theo dõi.</w:t>
      </w:r>
    </w:p>
    <w:p>
      <w:pPr>
        <w:pStyle w:val="VisionBullet"/>
      </w:pPr>
      <w:r>
        <w:t xml:space="preserve">• </w:t>
      </w:r>
      <w:r>
        <w:rPr>
          <w:b/>
        </w:rPr>
        <w:t xml:space="preserve">Tương tác qua khuôn mặt: </w:t>
      </w:r>
      <w:r>
        <w:t>ước lượng tám nhóm biểu cảm; nhận diện gật, lắc, quay, nghiêng, cúi hoặc ngẩng đầu; ước lượng hướng nhìn, trạng thái mắt, số lần chớp và dấu hiệu nhắm mắt kéo dài.</w:t>
      </w:r>
    </w:p>
    <w:p>
      <w:pPr>
        <w:pStyle w:val="VisionBullet"/>
      </w:pPr>
      <w:r>
        <w:t xml:space="preserve">• </w:t>
      </w:r>
      <w:r>
        <w:rPr>
          <w:b/>
        </w:rPr>
        <w:t xml:space="preserve">Tư thế và cử chỉ: </w:t>
      </w:r>
      <w:r>
        <w:t>nhận diện các tư thế cánh tay, theo dõi 21 mốc trên mỗi bàn tay và xác nhận các cử chỉ phổ biến như chữ V, like, lòng bàn tay mở, chỉ tay, nắm tay và dấu OK. Nhiều hành động ở đầu, tay trái, tay phải và cánh tay có thể được báo đồng thời.</w:t>
      </w:r>
    </w:p>
    <w:p>
      <w:pPr>
        <w:pStyle w:val="VisionBullet"/>
      </w:pPr>
      <w:r>
        <w:t xml:space="preserve">• </w:t>
      </w:r>
      <w:r>
        <w:rPr>
          <w:b/>
        </w:rPr>
        <w:t xml:space="preserve">Không gian và đồ vật: </w:t>
      </w:r>
      <w:r>
        <w:t>ước lượng khoảng cách đến camera và phát hiện các vật dụng phổ biến thuộc bộ lớp COCO. Hệ thống cũng cho biết vật thể có nằm gần bàn tay trên ảnh 2D hay không.</w:t>
      </w:r>
    </w:p>
    <w:p>
      <w:pPr>
        <w:pStyle w:val="VisionBullet"/>
      </w:pPr>
      <w:r>
        <w:t xml:space="preserve">• </w:t>
      </w:r>
      <w:r>
        <w:rPr>
          <w:b/>
        </w:rPr>
        <w:t xml:space="preserve">Giám sát và tích hợp: </w:t>
      </w:r>
      <w:r>
        <w:t>Dashboard hiển thị camera, khung nhận diện, skeleton, danh tính, biểu cảm, hành động, trạng thái mắt, khoảng cách, đồ vật, độ trễ và trạng thái từng mô hình. Dữ liệu được công bố qua MQTT để Brain sử dụng.</w:t>
      </w:r>
    </w:p>
    <w:p>
      <w:r>
        <w:br w:type="page"/>
      </w:r>
    </w:p>
    <w:p>
      <w:pPr>
        <w:pStyle w:val="Heading1"/>
      </w:pPr>
      <w:r>
        <w:t>4. Độ ổn định và kết quả kiểm thử</w:t>
      </w:r>
    </w:p>
    <w:p>
      <w:r>
        <w:rPr>
          <w:i w:val="0"/>
        </w:rPr>
        <w:t>Hệ thống có cơ chế làm mượt kết quả theo thời gian, yêu cầu hành động xuất hiện đủ ổn định trước khi xác nhận và tự xóa pose, bàn tay, đồ vật hoặc trạng thái camera khi dữ liệu quá hạn. Cách xử lý này hạn chế việc nhãn thay đổi liên tục và tránh hiển thị lại kết quả từ frame cũ.</w:t>
      </w:r>
    </w:p>
    <w:tbl>
      <w:tblPr>
        <w:tblW w:type="auto" w:w="0"/>
        <w:jc w:val="center"/>
        <w:tblLayout w:type="fixed"/>
        <w:tblLook w:firstColumn="1" w:firstRow="1" w:lastColumn="0" w:lastRow="0" w:noHBand="0" w:noVBand="1" w:val="04A0"/>
      </w:tblPr>
      <w:tblGrid>
        <w:gridCol w:w="2459"/>
        <w:gridCol w:w="2459"/>
        <w:gridCol w:w="2459"/>
        <w:gridCol w:w="2459"/>
      </w:tblGrid>
      <w:tr>
        <w:tc>
          <w:tcPr>
            <w:tcW w:type="dxa" w:w="2353"/>
            <w:vAlign w:val="center"/>
            <w:tcBorders>
              <w:top w:val="single" w:sz="5" w:color="CCD7E4"/>
              <w:left w:val="single" w:sz="5" w:color="CCD7E4"/>
              <w:bottom w:val="single" w:sz="5" w:color="CCD7E4"/>
              <w:right w:val="single" w:sz="5" w:color="CCD7E4"/>
              <w:insideH w:val="single" w:sz="5" w:color="CCD7E4"/>
              <w:insideV w:val="single" w:sz="5" w:color="CCD7E4"/>
            </w:tcBorders>
            <w:tcMar>
              <w:top w:w="95" w:type="dxa"/>
              <w:start w:w="90" w:type="dxa"/>
              <w:bottom w:w="95" w:type="dxa"/>
              <w:end w:w="90" w:type="dxa"/>
            </w:tcMar>
            <w:shd w:fill="EAF1F8"/>
          </w:tcPr>
          <w:p>
            <w:pPr>
              <w:spacing w:after="0"/>
              <w:jc w:val="center"/>
            </w:pPr>
            <w:r>
              <w:rPr>
                <w:rFonts w:ascii="Times New Roman" w:hAnsi="Times New Roman"/>
                <w:b/>
                <w:sz w:val="26"/>
              </w:rPr>
              <w:t>29</w:t>
            </w:r>
          </w:p>
        </w:tc>
        <w:tc>
          <w:tcPr>
            <w:tcW w:type="dxa" w:w="2353"/>
            <w:vAlign w:val="center"/>
            <w:tcBorders>
              <w:top w:val="single" w:sz="5" w:color="CCD7E4"/>
              <w:left w:val="single" w:sz="5" w:color="CCD7E4"/>
              <w:bottom w:val="single" w:sz="5" w:color="CCD7E4"/>
              <w:right w:val="single" w:sz="5" w:color="CCD7E4"/>
              <w:insideH w:val="single" w:sz="5" w:color="CCD7E4"/>
              <w:insideV w:val="single" w:sz="5" w:color="CCD7E4"/>
            </w:tcBorders>
            <w:tcMar>
              <w:top w:w="95" w:type="dxa"/>
              <w:start w:w="90" w:type="dxa"/>
              <w:bottom w:w="95" w:type="dxa"/>
              <w:end w:w="90" w:type="dxa"/>
            </w:tcMar>
            <w:shd w:fill="EAF1F8"/>
          </w:tcPr>
          <w:p>
            <w:pPr>
              <w:spacing w:after="0"/>
              <w:jc w:val="center"/>
            </w:pPr>
            <w:r>
              <w:rPr>
                <w:rFonts w:ascii="Times New Roman" w:hAnsi="Times New Roman"/>
                <w:b/>
                <w:sz w:val="26"/>
              </w:rPr>
              <w:t>7</w:t>
            </w:r>
          </w:p>
        </w:tc>
        <w:tc>
          <w:tcPr>
            <w:tcW w:type="dxa" w:w="2353"/>
            <w:vAlign w:val="center"/>
            <w:tcBorders>
              <w:top w:val="single" w:sz="5" w:color="CCD7E4"/>
              <w:left w:val="single" w:sz="5" w:color="CCD7E4"/>
              <w:bottom w:val="single" w:sz="5" w:color="CCD7E4"/>
              <w:right w:val="single" w:sz="5" w:color="CCD7E4"/>
              <w:insideH w:val="single" w:sz="5" w:color="CCD7E4"/>
              <w:insideV w:val="single" w:sz="5" w:color="CCD7E4"/>
            </w:tcBorders>
            <w:tcMar>
              <w:top w:w="95" w:type="dxa"/>
              <w:start w:w="90" w:type="dxa"/>
              <w:bottom w:w="95" w:type="dxa"/>
              <w:end w:w="90" w:type="dxa"/>
            </w:tcMar>
            <w:shd w:fill="EAF1F8"/>
          </w:tcPr>
          <w:p>
            <w:pPr>
              <w:spacing w:after="0"/>
              <w:jc w:val="center"/>
            </w:pPr>
            <w:r>
              <w:rPr>
                <w:rFonts w:ascii="Times New Roman" w:hAnsi="Times New Roman"/>
                <w:b/>
                <w:sz w:val="26"/>
              </w:rPr>
              <w:t>40/40</w:t>
            </w:r>
          </w:p>
        </w:tc>
        <w:tc>
          <w:tcPr>
            <w:tcW w:type="dxa" w:w="2353"/>
            <w:vAlign w:val="center"/>
            <w:tcBorders>
              <w:top w:val="single" w:sz="5" w:color="CCD7E4"/>
              <w:left w:val="single" w:sz="5" w:color="CCD7E4"/>
              <w:bottom w:val="single" w:sz="5" w:color="CCD7E4"/>
              <w:right w:val="single" w:sz="5" w:color="CCD7E4"/>
              <w:insideH w:val="single" w:sz="5" w:color="CCD7E4"/>
              <w:insideV w:val="single" w:sz="5" w:color="CCD7E4"/>
            </w:tcBorders>
            <w:tcMar>
              <w:top w:w="95" w:type="dxa"/>
              <w:start w:w="90" w:type="dxa"/>
              <w:bottom w:w="95" w:type="dxa"/>
              <w:end w:w="90" w:type="dxa"/>
            </w:tcMar>
            <w:shd w:fill="EAF1F8"/>
          </w:tcPr>
          <w:p>
            <w:pPr>
              <w:spacing w:after="0"/>
              <w:jc w:val="center"/>
            </w:pPr>
            <w:r>
              <w:rPr>
                <w:rFonts w:ascii="Times New Roman" w:hAnsi="Times New Roman"/>
                <w:b/>
                <w:sz w:val="26"/>
              </w:rPr>
              <w:t>81,5 ms</w:t>
            </w:r>
          </w:p>
        </w:tc>
      </w:tr>
      <w:tr>
        <w:tc>
          <w:tcPr>
            <w:tcW w:type="dxa" w:w="2353"/>
            <w:vAlign w:val="center"/>
            <w:tcBorders>
              <w:top w:val="single" w:sz="5" w:color="CCD7E4"/>
              <w:left w:val="single" w:sz="5" w:color="CCD7E4"/>
              <w:bottom w:val="single" w:sz="5" w:color="CCD7E4"/>
              <w:right w:val="single" w:sz="5" w:color="CCD7E4"/>
              <w:insideH w:val="single" w:sz="5" w:color="CCD7E4"/>
              <w:insideV w:val="single" w:sz="5" w:color="CCD7E4"/>
            </w:tcBorders>
            <w:tcMar>
              <w:top w:w="95" w:type="dxa"/>
              <w:start w:w="90" w:type="dxa"/>
              <w:bottom w:w="95" w:type="dxa"/>
              <w:end w:w="90" w:type="dxa"/>
            </w:tcMar>
            <w:shd w:fill="F8FAFC"/>
          </w:tcPr>
          <w:p>
            <w:pPr>
              <w:spacing w:after="0"/>
              <w:jc w:val="center"/>
            </w:pPr>
            <w:r>
              <w:rPr>
                <w:rFonts w:ascii="Times New Roman" w:hAnsi="Times New Roman"/>
                <w:sz w:val="19"/>
              </w:rPr>
              <w:t>kiểm thử Python đạt</w:t>
            </w:r>
          </w:p>
        </w:tc>
        <w:tc>
          <w:tcPr>
            <w:tcW w:type="dxa" w:w="2353"/>
            <w:vAlign w:val="center"/>
            <w:tcBorders>
              <w:top w:val="single" w:sz="5" w:color="CCD7E4"/>
              <w:left w:val="single" w:sz="5" w:color="CCD7E4"/>
              <w:bottom w:val="single" w:sz="5" w:color="CCD7E4"/>
              <w:right w:val="single" w:sz="5" w:color="CCD7E4"/>
              <w:insideH w:val="single" w:sz="5" w:color="CCD7E4"/>
              <w:insideV w:val="single" w:sz="5" w:color="CCD7E4"/>
            </w:tcBorders>
            <w:tcMar>
              <w:top w:w="95" w:type="dxa"/>
              <w:start w:w="90" w:type="dxa"/>
              <w:bottom w:w="95" w:type="dxa"/>
              <w:end w:w="90" w:type="dxa"/>
            </w:tcMar>
            <w:shd w:fill="F8FAFC"/>
          </w:tcPr>
          <w:p>
            <w:pPr>
              <w:spacing w:after="0"/>
              <w:jc w:val="center"/>
            </w:pPr>
            <w:r>
              <w:rPr>
                <w:rFonts w:ascii="Times New Roman" w:hAnsi="Times New Roman"/>
                <w:sz w:val="19"/>
              </w:rPr>
              <w:t>thành phần mô hình nạp được</w:t>
            </w:r>
          </w:p>
        </w:tc>
        <w:tc>
          <w:tcPr>
            <w:tcW w:type="dxa" w:w="2353"/>
            <w:vAlign w:val="center"/>
            <w:tcBorders>
              <w:top w:val="single" w:sz="5" w:color="CCD7E4"/>
              <w:left w:val="single" w:sz="5" w:color="CCD7E4"/>
              <w:bottom w:val="single" w:sz="5" w:color="CCD7E4"/>
              <w:right w:val="single" w:sz="5" w:color="CCD7E4"/>
              <w:insideH w:val="single" w:sz="5" w:color="CCD7E4"/>
              <w:insideV w:val="single" w:sz="5" w:color="CCD7E4"/>
            </w:tcBorders>
            <w:tcMar>
              <w:top w:w="95" w:type="dxa"/>
              <w:start w:w="90" w:type="dxa"/>
              <w:bottom w:w="95" w:type="dxa"/>
              <w:end w:w="90" w:type="dxa"/>
            </w:tcMar>
            <w:shd w:fill="F8FAFC"/>
          </w:tcPr>
          <w:p>
            <w:pPr>
              <w:spacing w:after="0"/>
              <w:jc w:val="center"/>
            </w:pPr>
            <w:r>
              <w:rPr>
                <w:rFonts w:ascii="Times New Roman" w:hAnsi="Times New Roman"/>
                <w:sz w:val="19"/>
              </w:rPr>
              <w:t>frame phát hiện khuôn mặt</w:t>
            </w:r>
          </w:p>
        </w:tc>
        <w:tc>
          <w:tcPr>
            <w:tcW w:type="dxa" w:w="2353"/>
            <w:vAlign w:val="center"/>
            <w:tcBorders>
              <w:top w:val="single" w:sz="5" w:color="CCD7E4"/>
              <w:left w:val="single" w:sz="5" w:color="CCD7E4"/>
              <w:bottom w:val="single" w:sz="5" w:color="CCD7E4"/>
              <w:right w:val="single" w:sz="5" w:color="CCD7E4"/>
              <w:insideH w:val="single" w:sz="5" w:color="CCD7E4"/>
              <w:insideV w:val="single" w:sz="5" w:color="CCD7E4"/>
            </w:tcBorders>
            <w:tcMar>
              <w:top w:w="95" w:type="dxa"/>
              <w:start w:w="90" w:type="dxa"/>
              <w:bottom w:w="95" w:type="dxa"/>
              <w:end w:w="90" w:type="dxa"/>
            </w:tcMar>
            <w:shd w:fill="F8FAFC"/>
          </w:tcPr>
          <w:p>
            <w:pPr>
              <w:spacing w:after="0"/>
              <w:jc w:val="center"/>
            </w:pPr>
            <w:r>
              <w:rPr>
                <w:rFonts w:ascii="Times New Roman" w:hAnsi="Times New Roman"/>
                <w:sz w:val="19"/>
              </w:rPr>
              <w:t>trung vị xử lý</w:t>
            </w:r>
          </w:p>
        </w:tc>
      </w:tr>
    </w:tbl>
    <w:p>
      <w:pPr>
        <w:spacing w:before="60" w:after="100"/>
        <w:jc w:val="center"/>
      </w:pPr>
      <w:r>
        <w:rPr>
          <w:rFonts w:ascii="Times New Roman" w:hAnsi="Times New Roman"/>
          <w:i/>
          <w:color w:val="464646"/>
          <w:sz w:val="19"/>
        </w:rPr>
        <w:t>Camera diagnostic đạt khoảng 6,2 Hz; p95 thời gian xử lý là 183,9 ms và bộ kiểm thử giao diện Vision cũng đã đạt. Các số liệu này phản ánh khả năng vận hành, không phải độ chính xác trên tập dữ liệu chuẩn.</w:t>
      </w:r>
    </w:p>
    <w:p>
      <w:pPr>
        <w:pStyle w:val="Heading1"/>
      </w:pPr>
      <w:r>
        <w:t>5. Chi phí và quyền riêng tư</w:t>
      </w:r>
    </w:p>
    <w:p>
      <w:r>
        <w:rPr>
          <w:i w:val="0"/>
        </w:rPr>
        <w:t>Toàn bộ suy luận Vision chạy local, không dùng API Vision trả phí và không phát sinh chi phí theo lượt nhận diện. Khi đã cài đủ mô hình, hệ thống có thể hoạt động không cần Internet. Ảnh đăng ký và embedding khuôn mặt của chủ nhân không được đưa lên Git; các tệp mô hình lớn cũng được cài riêng trên từng máy.</w:t>
      </w:r>
    </w:p>
    <w:p>
      <w:pPr>
        <w:pStyle w:val="Heading1"/>
      </w:pPr>
      <w:r>
        <w:t>6. Giới hạn cần lưu ý</w:t>
      </w:r>
    </w:p>
    <w:p>
      <w:pPr>
        <w:pStyle w:val="VisionBullet"/>
      </w:pPr>
      <w:r>
        <w:t xml:space="preserve">• </w:t>
      </w:r>
      <w:r>
        <w:rPr>
          <w:b/>
        </w:rPr>
        <w:t xml:space="preserve">Phạm vi theo dõi: </w:t>
      </w:r>
      <w:r>
        <w:t>phiên bản hiện tại ưu tiên một người chính, chỉ lưu một chủ nhân và chưa có cơ chế chống giả mạo khuôn mặt bằng ảnh hoặc video.</w:t>
      </w:r>
    </w:p>
    <w:p>
      <w:pPr>
        <w:pStyle w:val="VisionBullet"/>
      </w:pPr>
      <w:r>
        <w:t xml:space="preserve">• </w:t>
      </w:r>
      <w:r>
        <w:rPr>
          <w:b/>
        </w:rPr>
        <w:t xml:space="preserve">Mức độ suy luận: </w:t>
      </w:r>
      <w:r>
        <w:t>biểu cảm, hướng nhìn và dấu hiệu nhắm mắt kéo dài chỉ là ước lượng hình ảnh; không phải kết luận tâm lý, mức độ chú ý, chẩn đoán y tế hoặc cơ chế an toàn.</w:t>
      </w:r>
    </w:p>
    <w:p>
      <w:pPr>
        <w:pStyle w:val="VisionBullet"/>
      </w:pPr>
      <w:r>
        <w:t xml:space="preserve">• </w:t>
      </w:r>
      <w:r>
        <w:rPr>
          <w:b/>
        </w:rPr>
        <w:t xml:space="preserve">Điều kiện thực tế: </w:t>
      </w:r>
      <w:r>
        <w:t>ánh sáng, góc camera, độ che khuất, kích thước bàn tay và tải CPU có thể ảnh hưởng kết quả. Khoảng cách cần được hiệu chuẩn theo camera; vật thể “gần tay” không đồng nghĩa với đang được cầm.</w:t>
      </w:r>
    </w:p>
    <w:p>
      <w:pPr>
        <w:pStyle w:val="VisionBullet"/>
      </w:pPr>
      <w:r>
        <w:t xml:space="preserve">• </w:t>
      </w:r>
      <w:r>
        <w:rPr>
          <w:b/>
        </w:rPr>
        <w:t xml:space="preserve">Đánh giá: </w:t>
      </w:r>
      <w:r>
        <w:t>dự án chưa có tập video gán nhãn đầy đủ để công bố accuracy cho từng chức năng. Cần kiểm thử bổ sung trên nhiều người, bối cảnh và thiết bị trước khi sử dụng ngoài phạm vi trình diễn.</w:t>
      </w:r>
    </w:p>
    <w:p>
      <w:pPr>
        <w:pStyle w:val="Heading1"/>
      </w:pPr>
      <w:r>
        <w:t>7. Kết luận</w:t>
      </w:r>
    </w:p>
    <w:p>
      <w:r>
        <w:rPr>
          <w:i w:val="0"/>
        </w:rPr>
        <w:t>Vision của Moon đã hình thành một pipeline đa tín hiệu có thể chạy theo thời gian thực trên máy local và cung cấp dữ liệu thống nhất cho Brain. Hệ thống hiện phù hợp cho demo tương tác người–robot, phản hồi theo biểu cảm hoặc cử chỉ, hỗ trợ nhận biết đồ vật và kết hợp với Voice trong các kịch bản học tập, giải trí. Bước tiếp theo nên ưu tiên xây dựng bộ dữ liệu đánh giá, hiệu chuẩn theo phần cứng thực tế và kiểm thử trong nhiều điều kiện sử dụng hơn.</w:t>
      </w:r>
    </w:p>
    <w:sectPr w:rsidR="00FC693F" w:rsidRPr="0006063C" w:rsidSect="00034616">
      <w:footerReference w:type="default" r:id="rId9"/>
      <w:pgSz w:w="11906" w:h="16838"/>
      <w:pgMar w:top="879" w:right="992" w:bottom="822" w:left="1077"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66" w:lineRule="auto"/>
    </w:pPr>
    <w:rPr>
      <w:rFonts w:ascii="Times New Roman" w:hAnsi="Times New Roman"/>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isionBullet">
    <w:name w:val="Vision Bullet"/>
    <w:basedOn w:val="Normal"/>
    <w:pPr>
      <w:spacing w:after="60" w:line="259" w:lineRule="auto"/>
      <w:ind w:left="312" w:hanging="193"/>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phần Vision</dc:title>
  <dc:subject>Hệ thống thị giác thời gian thực cho robot Moon</dc:subject>
  <dc:creator>Nhóm phát triển Moon</dc:creator>
  <cp:keywords>Moon, Vision, robot, computer vision, MQTT</cp:keywords>
  <dc:description>generated by python-docx</dc:description>
  <cp:lastModifiedBy/>
  <cp:revision>1</cp:revision>
  <dcterms:created xsi:type="dcterms:W3CDTF">2013-12-23T23:15:00Z</dcterms:created>
  <dcterms:modified xsi:type="dcterms:W3CDTF">2013-12-23T23:15:00Z</dcterms:modified>
  <cp:category/>
</cp:coreProperties>
</file>