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writing</w:t>
      </w:r>
      <w:r>
        <w:t xml:space="preserve"> </w:t>
      </w:r>
      <w:r>
        <w:t xml:space="preserve">manuscripts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Thaise</w:t>
      </w:r>
      <w:r>
        <w:t xml:space="preserve"> </w:t>
      </w:r>
      <w:r>
        <w:t xml:space="preserve">Ricardo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  <w:r>
        <w:rPr>
          <w:vertAlign w:val="superscript"/>
        </w:rPr>
        <w:t xml:space="preserve">1</w:t>
      </w:r>
      <w:r>
        <w:t xml:space="preserve">*,</w:t>
      </w:r>
      <w:r>
        <w:t xml:space="preserve"> </w:t>
      </w:r>
      <w:r>
        <w:t xml:space="preserve">Elisabeth</w:t>
      </w:r>
      <w:r>
        <w:t xml:space="preserve"> </w:t>
      </w:r>
      <w:r>
        <w:t xml:space="preserve">Alve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Silvia</w:t>
      </w:r>
      <w:r>
        <w:t xml:space="preserve"> </w:t>
      </w:r>
      <w:r>
        <w:t xml:space="preserve">Hess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Paul</w:t>
      </w:r>
      <w:r>
        <w:t xml:space="preserve"> </w:t>
      </w:r>
      <w:r>
        <w:t xml:space="preserve">Renaud</w:t>
      </w:r>
      <w:r>
        <w:rPr>
          <w:vertAlign w:val="superscript"/>
        </w:rPr>
        <w:t xml:space="preserve">2,3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Geosciences, University of Oslo, PO Box 1047 Blindern, 0316 Oslo, Norway</w:t>
      </w:r>
    </w:p>
    <w:p>
      <w:pPr>
        <w:pStyle w:val="Corpodetexto"/>
      </w:pPr>
      <w:r>
        <w:rPr>
          <w:vertAlign w:val="superscript"/>
        </w:rPr>
        <w:t xml:space="preserve">2</w:t>
      </w:r>
      <w:r>
        <w:t xml:space="preserve"> </w:t>
      </w:r>
      <w:r>
        <w:t xml:space="preserve">Akvaplan-niva, Fram Centre for Climate and the Environment, 9296 Tromsø, Norway</w:t>
      </w:r>
    </w:p>
    <w:p>
      <w:pPr>
        <w:pStyle w:val="Corpodetexto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University Centre on Svalbard, 9171 Longyearbyen, Norway</w:t>
      </w:r>
    </w:p>
    <w:p>
      <w:pPr>
        <w:pStyle w:val="Corpodetexto"/>
      </w:pPr>
      <w:r>
        <w:rPr>
          <w:rStyle w:val="VerbatimChar"/>
        </w:rPr>
        <w:t xml:space="preserve">*</w:t>
      </w:r>
      <w:r>
        <w:t xml:space="preserve"> </w:t>
      </w:r>
      <w:r>
        <w:t xml:space="preserve">Corresponding author:</w:t>
      </w:r>
      <w:r>
        <w:t xml:space="preserve"> </w:t>
      </w:r>
      <w:hyperlink r:id="rId20">
        <w:r>
          <w:rPr>
            <w:rStyle w:val="Hyperlink"/>
          </w:rPr>
          <w:t xml:space="preserve">thaiser@uio.no</w:t>
        </w:r>
      </w:hyperlink>
    </w:p>
    <w:bookmarkStart w:id="21" w:name="abstract"/>
    <w:p>
      <w:pPr>
        <w:pStyle w:val="Ttulo1"/>
      </w:pPr>
      <w:r>
        <w:t xml:space="preserve">ABSTRACT</w:t>
      </w:r>
    </w:p>
    <w:p>
      <w:pPr>
        <w:pStyle w:val="FirstParagraph"/>
      </w:pPr>
      <w:r>
        <w:t xml:space="preserve">Write your abstract here.</w:t>
      </w:r>
    </w:p>
    <w:p>
      <w:pPr>
        <w:pStyle w:val="Corpodetexto"/>
      </w:pPr>
      <w:r>
        <w:rPr>
          <w:iCs/>
          <w:i/>
        </w:rPr>
        <w:t xml:space="preserve">Keywords</w:t>
      </w:r>
      <w:r>
        <w:t xml:space="preserve">: Rmarkdown, reproducible science</w:t>
      </w:r>
    </w:p>
    <w:bookmarkEnd w:id="21"/>
    <w:bookmarkStart w:id="22" w:name="introduction"/>
    <w:p>
      <w:pPr>
        <w:pStyle w:val="Ttulo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Overall importance of Barents Sea in terms of carbon sink and carbon accumulation.</w:t>
      </w:r>
    </w:p>
    <w:p>
      <w:pPr>
        <w:numPr>
          <w:ilvl w:val="0"/>
          <w:numId w:val="1001"/>
        </w:numPr>
      </w:pPr>
      <w:r>
        <w:t xml:space="preserve">What has been documented on carbon accumulation, and carbon sources in the region.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Few studies have paid attention to the origin of the OM in the studied area from the vertical perspective of time</w:t>
      </w:r>
      <w:r>
        <w:t xml:space="preserve">”</w:t>
      </w:r>
      <w:r>
        <w:t xml:space="preserve"> </w:t>
      </w:r>
      <w:r>
        <w:rPr>
          <w:rStyle w:val="VerbatimChar"/>
        </w:rPr>
        <w:t xml:space="preserve">Não que seja vdd para a regiao, mas é um ponto de partida.</w:t>
      </w:r>
    </w:p>
    <w:p>
      <w:pPr>
        <w:numPr>
          <w:ilvl w:val="0"/>
          <w:numId w:val="1001"/>
        </w:numPr>
      </w:pPr>
      <w:r>
        <w:t xml:space="preserve">What knowledge gaps about seasonal / bathymetry related changes in sedimentation etc.</w:t>
      </w:r>
    </w:p>
    <w:p>
      <w:pPr>
        <w:numPr>
          <w:ilvl w:val="0"/>
          <w:numId w:val="1001"/>
        </w:numPr>
      </w:pPr>
      <w:r>
        <w:t xml:space="preserve">Our hypothesis / our goal is to investigate environmental pressures on TOC and it’s potential sources. And how the pressures may influence storage capacity on these ecosystems in a temporal perspective.</w:t>
      </w:r>
    </w:p>
    <w:bookmarkEnd w:id="22"/>
    <w:bookmarkStart w:id="28" w:name="methods"/>
    <w:p>
      <w:pPr>
        <w:pStyle w:val="Ttulo1"/>
      </w:pPr>
      <w:r>
        <w:t xml:space="preserve">METHODS</w:t>
      </w:r>
    </w:p>
    <w:bookmarkStart w:id="23" w:name="study-area-and-sampling"/>
    <w:p>
      <w:pPr>
        <w:pStyle w:val="Ttulo2"/>
      </w:pPr>
      <w:r>
        <w:t xml:space="preserve">Study area and sampling</w:t>
      </w:r>
    </w:p>
    <w:p>
      <w:pPr>
        <w:pStyle w:val="FirstParagraph"/>
      </w:pPr>
      <w:r>
        <w:t xml:space="preserve">Sediment sampling was performed during three cruises with R/V Kronprins Haakon in 2018 and 2019 (Table 1). Sediment cores with 40 cm length (40x10 cm) were retrieved at nine stations (NPAL04 to NPAL19) with a four-tube multicorer and immediately sliced to 1 cm layers, placed into plastic jars and frozen on board. Twenty-eight cores with 6 cm length (6x5 cm) cores were subsampled from a box corer at six stations (P1 to SICE4) and immediately sliced to 1 cm layers, placed into plastic jars and frozen on board. In the laboratory all samples were freeze-dried under vacuum and homogenized for stable isotopes and organic carbon content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Core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Sampling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Analysis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KH18-10-04-MC3-C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Southern Olga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77.91000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31.30000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KH18-10-05-MC2-B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Northern Olga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KH18-10-07-MC2-A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strait 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79.68000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33.81000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KH18-10-08-MC1-D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strait 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KH18-10-12-MC2-A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Erik Eriksen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79.47000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28.53000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KH18-10-14-MC2-B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East Nordaustlandet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80.69000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28.95000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KH18-10-15-MC1-C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31.61000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KH18-10-17-MC3-C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3,896.00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KH18-10-19-MC1-A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81.93000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27.52000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326.11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79.74570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79.74340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34.02820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30.84750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856.66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30.87590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81.53460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81.72760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28.67120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2,648.91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81.67070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28.78900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2,349.31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81.66830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28.81180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2,329.02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24.53010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24.73580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24.80450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Q4P2-1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33.96900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Q4P2-2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77.48600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33.96100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79.73900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30.94241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30.86334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81.55005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30.89197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</w:tbl>
    <w:bookmarkEnd w:id="23"/>
    <w:bookmarkStart w:id="24" w:name="age-determination"/>
    <w:p>
      <w:pPr>
        <w:pStyle w:val="Ttulo2"/>
      </w:pPr>
      <w:r>
        <w:t xml:space="preserve">Age determination</w:t>
      </w:r>
    </w:p>
    <w:p>
      <w:pPr>
        <w:pStyle w:val="FirstParagraph"/>
      </w:pPr>
      <w:r>
        <w:t xml:space="preserve">We worked in a</w:t>
      </w:r>
      <w:r>
        <w:t xml:space="preserve"> </w:t>
      </w:r>
      <w:r>
        <w:rPr>
          <w:bCs/>
          <w:b/>
        </w:rPr>
        <w:t xml:space="preserve">beautiful</w:t>
      </w:r>
      <w:r>
        <w:t xml:space="preserve"> </w:t>
      </w:r>
      <w:r>
        <w:t xml:space="preserve">place with lots of trees, like</w:t>
      </w:r>
      <w:r>
        <w:t xml:space="preserve"> </w:t>
      </w:r>
      <w:r>
        <w:rPr>
          <w:iCs/>
          <w:i/>
        </w:rPr>
        <w:t xml:space="preserve">Quercus suber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Laurus nobilis</w:t>
      </w:r>
      <w:r>
        <w:t xml:space="preserve">.</w:t>
      </w:r>
    </w:p>
    <w:bookmarkEnd w:id="24"/>
    <w:bookmarkStart w:id="25" w:name="bulk-geochemistry-analyses"/>
    <w:p>
      <w:pPr>
        <w:pStyle w:val="Ttulo2"/>
      </w:pPr>
      <w:r>
        <w:t xml:space="preserve">Bulk geochemistry analyses</w:t>
      </w:r>
    </w:p>
    <w:p>
      <w:pPr>
        <w:pStyle w:val="FirstParagraph"/>
      </w:pPr>
      <w:r>
        <w:t xml:space="preserve">bulk analyses</w:t>
      </w:r>
    </w:p>
    <w:bookmarkEnd w:id="25"/>
    <w:bookmarkStart w:id="26" w:name="characterization-of-sedimentary-om"/>
    <w:p>
      <w:pPr>
        <w:pStyle w:val="Ttulo2"/>
      </w:pPr>
      <w:r>
        <w:t xml:space="preserve">Characterization of sedimentary OM</w:t>
      </w:r>
    </w:p>
    <w:p>
      <w:pPr>
        <w:pStyle w:val="FirstParagraph"/>
      </w:pPr>
      <w:r>
        <w:t xml:space="preserve">We applied a linear model where</w:t>
      </w:r>
    </w:p>
    <w:p>
      <w:pPr>
        <w:pStyle w:val="Corpodetexto"/>
      </w:pPr>
      <m:oMathPara>
        <m:oMathParaPr>
          <m:jc m:val="center"/>
        </m:oMathParaPr>
        <m:oMath>
          <m:r>
            <m:t>O</m:t>
          </m:r>
          <m:sSub>
            <m:e>
              <m:r>
                <m:t>C</m:t>
              </m:r>
            </m:e>
            <m:sub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%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δ</m:t>
                      </m:r>
                    </m:e>
                    <m:sup>
                      <m:r>
                        <m:t>13</m:t>
                      </m:r>
                    </m:sup>
                  </m:sSup>
                  <m:r>
                    <m:t>C</m:t>
                  </m:r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13</m:t>
                      </m:r>
                    </m:sup>
                  </m:sSup>
                  <m:r>
                    <m:t>C</m:t>
                  </m:r>
                  <m:r>
                    <m:t>M</m:t>
                  </m:r>
                </m:num>
                <m:den>
                  <m:sSup>
                    <m:e>
                      <m:r>
                        <m:t>δ</m:t>
                      </m:r>
                    </m:e>
                    <m:sup>
                      <m:r>
                        <m:t>13</m:t>
                      </m:r>
                    </m:sup>
                  </m:sSup>
                  <m:r>
                    <m:t>C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13</m:t>
                      </m:r>
                    </m:sup>
                  </m:sSup>
                  <m:r>
                    <m:t>C</m:t>
                  </m:r>
                  <m:r>
                    <m:t>M</m:t>
                  </m:r>
                </m:den>
              </m:f>
            </m:e>
          </m:d>
          <m:r>
            <m:rPr>
              <m:sty m:val="p"/>
            </m:rPr>
            <m:t>*</m:t>
          </m:r>
          <m:r>
            <m:t>100</m:t>
          </m:r>
        </m:oMath>
      </m:oMathPara>
    </w:p>
    <w:bookmarkEnd w:id="26"/>
    <w:bookmarkStart w:id="27" w:name="statistical-methods"/>
    <w:p>
      <w:pPr>
        <w:pStyle w:val="Ttulo2"/>
      </w:pPr>
      <w:r>
        <w:t xml:space="preserve">Statistical methods</w:t>
      </w:r>
    </w:p>
    <w:p>
      <w:pPr>
        <w:numPr>
          <w:ilvl w:val="0"/>
          <w:numId w:val="1002"/>
        </w:numPr>
      </w:pPr>
      <w:r>
        <w:t xml:space="preserve">Shapiro - Wilk Normality test</w:t>
      </w:r>
    </w:p>
    <w:p>
      <w:pPr>
        <w:numPr>
          <w:ilvl w:val="0"/>
          <w:numId w:val="1002"/>
        </w:numPr>
      </w:pPr>
      <w:r>
        <w:t xml:space="preserve">Kruskal wallis analysis of variance among regions, environmental conditions, sedimentary environments</w:t>
      </w:r>
    </w:p>
    <w:p>
      <w:pPr>
        <w:numPr>
          <w:ilvl w:val="0"/>
          <w:numId w:val="1002"/>
        </w:numPr>
      </w:pPr>
      <w:r>
        <w:t xml:space="preserve">Latitude relationship with parameters with linear regression or other family (glm)</w:t>
      </w:r>
    </w:p>
    <w:p>
      <w:pPr>
        <w:numPr>
          <w:ilvl w:val="0"/>
          <w:numId w:val="1002"/>
        </w:numPr>
      </w:pPr>
      <w:r>
        <w:t xml:space="preserve">Temporal trend (Mann-Kendall, Pettit, Sen slope estimator)</w:t>
      </w:r>
    </w:p>
    <w:bookmarkEnd w:id="27"/>
    <w:bookmarkEnd w:id="28"/>
    <w:bookmarkStart w:id="30" w:name="results"/>
    <w:p>
      <w:pPr>
        <w:pStyle w:val="Ttulo1"/>
      </w:pPr>
      <w:r>
        <w:t xml:space="preserve">RESULTS</w:t>
      </w:r>
    </w:p>
    <w:p>
      <w:pPr>
        <w:pStyle w:val="FirstParagraph"/>
      </w:pPr>
      <w:r>
        <w:t xml:space="preserve">Trees in forest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grew taller than those in forest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(mean height: 25 versus 13 m).</w:t>
      </w:r>
    </w:p>
    <w:p>
      <w:pPr>
        <w:pStyle w:val="Corpodetexto"/>
      </w:pPr>
      <w:r>
        <w:t xml:space="preserve">And many more cool results that get updated dynamically, e.g. see Table and Fig.</w:t>
      </w:r>
      <w:r>
        <w:t xml:space="preserve"> </w:t>
      </w:r>
      <w:r>
        <w:t xml:space="preserve">1</w:t>
      </w:r>
      <w:r>
        <w:t xml:space="preserve">. Note Tables and Figures are cross-linked and numbered automatically.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</w:tbl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1: Just my first figure with a very fantastic caption." title="" id="1" name="Picture"/>
            <a:graphic>
              <a:graphicData uri="http://schemas.openxmlformats.org/drawingml/2006/picture">
                <pic:pic>
                  <pic:nvPicPr>
                    <pic:cNvPr descr="../03_figures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Just my first figure with a very fantastic caption.</w:t>
      </w:r>
    </w:p>
    <w:bookmarkEnd w:id="30"/>
    <w:bookmarkStart w:id="31" w:name="discussion"/>
    <w:p>
      <w:pPr>
        <w:pStyle w:val="Ttulo1"/>
      </w:pPr>
      <w:r>
        <w:t xml:space="preserve">DISCUSSION</w:t>
      </w:r>
    </w:p>
    <w:p>
      <w:pPr>
        <w:pStyle w:val="FirstParagraph"/>
      </w:pPr>
      <w:r>
        <w:t xml:space="preserve">Discuss.</w:t>
      </w:r>
    </w:p>
    <w:bookmarkEnd w:id="31"/>
    <w:bookmarkStart w:id="32" w:name="conclusions"/>
    <w:p>
      <w:pPr>
        <w:pStyle w:val="Ttulo1"/>
      </w:pPr>
      <w:r>
        <w:t xml:space="preserve">CONCLUSIONS</w:t>
      </w:r>
    </w:p>
    <w:p>
      <w:pPr>
        <w:pStyle w:val="FirstParagraph"/>
      </w:pPr>
      <w:r>
        <w:t xml:space="preserve">Wrap up</w:t>
      </w:r>
    </w:p>
    <w:bookmarkEnd w:id="32"/>
    <w:bookmarkStart w:id="33" w:name="acknowledgements"/>
    <w:p>
      <w:pPr>
        <w:pStyle w:val="Ttulo1"/>
      </w:pPr>
      <w:r>
        <w:t xml:space="preserve">ACKNOWLEDGEMENTS</w:t>
      </w:r>
    </w:p>
    <w:p>
      <w:pPr>
        <w:pStyle w:val="FirstParagraph"/>
      </w:pPr>
      <w:r>
        <w:t xml:space="preserve">On the shoulders of giants.</w:t>
      </w:r>
    </w:p>
    <w:bookmarkEnd w:id="33"/>
    <w:bookmarkStart w:id="38" w:name="references"/>
    <w:p>
      <w:pPr>
        <w:pStyle w:val="Ttulo1"/>
      </w:pPr>
      <w:r>
        <w:t xml:space="preserve">REFERENCES</w:t>
      </w:r>
    </w:p>
    <w:bookmarkStart w:id="34" w:name="refs"/>
    <w:bookmarkEnd w:id="34"/>
    <w:bookmarkStart w:id="35" w:name="supplementary-table-on-new-page"/>
    <w:p>
      <w:pPr>
        <w:pStyle w:val="Ttulo6"/>
      </w:pPr>
      <w:r>
        <w:t xml:space="preserve">Supplementary Table (on new page)</w:t>
      </w:r>
    </w:p>
    <w:p>
      <w:pPr>
        <w:pStyle w:val="TableCaption"/>
      </w:pPr>
      <w:r>
        <w:t xml:space="preserve">Table 1: Now a subset of mtcars dataset.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Now a subset of mtcars dataset.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35"/>
    <w:bookmarkStart w:id="37" w:name="supplementary-figure-on-new-page"/>
    <w:p>
      <w:pPr>
        <w:pStyle w:val="Ttulo6"/>
      </w:pPr>
      <w:r>
        <w:t xml:space="preserve">Supplementary Figure (on new page)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2: A boxplot." title="" id="1" name="Picture"/>
            <a:graphic>
              <a:graphicData uri="http://schemas.openxmlformats.org/drawingml/2006/picture">
                <pic:pic>
                  <pic:nvPicPr>
                    <pic:cNvPr descr="../03_figures/Fig-landsc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boxplot.</w:t>
      </w:r>
    </w:p>
    <w:bookmarkEnd w:id="37"/>
    <w:bookmarkEnd w:id="38"/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A0F23" w14:textId="77777777" w:rsidR="000B51C4" w:rsidRDefault="000B51C4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5A0F24" w14:textId="77777777" w:rsidR="000B51C4" w:rsidRDefault="000B51C4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724"/>
    <w:pPr>
      <w:spacing w:after="0" w:line="480" w:lineRule="auto"/>
    </w:pPr>
    <w:rPr>
      <w:sz w:val="20"/>
    </w:rPr>
  </w:style>
  <w:style w:type="paragraph" w:styleId="Ttulo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har"/>
    <w:qFormat/>
    <w:rsid w:val="00380EBE"/>
    <w:pPr>
      <w:keepNext/>
      <w:keepLines/>
      <w:pageBreakBefore/>
      <w:spacing w:before="20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i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link w:val="CorpodetextoChar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Fontepargpadro"/>
    <w:rsid w:val="00A6715F"/>
    <w:rPr>
      <w:color w:val="0000FF" w:themeColor="hyperlink"/>
      <w:u w:val="single"/>
    </w:rPr>
  </w:style>
  <w:style w:type="character" w:customStyle="1" w:styleId="Ttulo6Char">
    <w:name w:val="Título 6 Char"/>
    <w:basedOn w:val="Fontepargpadro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CorpodetextoChar">
    <w:name w:val="Corpo de texto Char"/>
    <w:basedOn w:val="Fontepargpadro"/>
    <w:link w:val="Corpodetexto"/>
    <w:rsid w:val="00C102C2"/>
    <w:rPr>
      <w:sz w:val="20"/>
    </w:rPr>
  </w:style>
  <w:style w:type="character" w:styleId="Nmerodelinha">
    <w:name w:val="line number"/>
    <w:basedOn w:val="Fontepargpadro"/>
    <w:rsid w:val="005620F8"/>
  </w:style>
  <w:style w:type="paragraph" w:styleId="Cabealho">
    <w:name w:val="header"/>
    <w:basedOn w:val="Normal"/>
    <w:link w:val="CabealhoChar"/>
    <w:rsid w:val="000B51C4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B51C4"/>
    <w:rPr>
      <w:sz w:val="20"/>
    </w:rPr>
  </w:style>
  <w:style w:type="paragraph" w:styleId="Rodap">
    <w:name w:val="footer"/>
    <w:basedOn w:val="Normal"/>
    <w:link w:val="RodapChar"/>
    <w:uiPriority w:val="99"/>
    <w:rsid w:val="000B51C4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C4"/>
    <w:rPr>
      <w:sz w:val="2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hyperlink" Id="rId20" Target="mailto:thaiser@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haiser@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766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writing manuscripts in Rmarkdown</dc:title>
  <dc:creator>Thaise Ricardo de Freitas1*, Elisabeth Alve1, Silvia Hess1, Paul Renaud2,3</dc:creator>
  <cp:keywords/>
  <dcterms:created xsi:type="dcterms:W3CDTF">2021-06-21T16:02:08Z</dcterms:created>
  <dcterms:modified xsi:type="dcterms:W3CDTF">2021-06-21T16:02:08Z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templates/ecology.csl</vt:lpwstr>
  </property>
  <property fmtid="{D5CDD505-2E9C-101B-9397-08002B2CF9AE}" pid="4" name="output">
    <vt:lpwstr/>
  </property>
</Properties>
</file>