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880" w:after="200"/>
        <w:jc w:val="center"/>
      </w:pPr>
      <w:r>
        <w:rPr>
          <w:rFonts w:ascii="Arial" w:cs="Arial" w:eastAsia="Arial" w:hAnsi="Arial"/>
          <w:b/>
          <w:bCs/>
          <w:color w:val="1F3864"/>
          <w:sz w:val="56"/>
          <w:szCs w:val="56"/>
        </w:rPr>
        <w:t xml:space="preserve">ML PIPELINE REPORT</w:t>
      </w:r>
    </w:p>
    <w:p>
      <w:pPr>
        <w:spacing w:after="160"/>
        <w:jc w:val="center"/>
      </w:pPr>
      <w:r>
        <w:rPr>
          <w:rFonts w:ascii="Arial" w:cs="Arial" w:eastAsia="Arial" w:hAnsi="Arial"/>
          <w:i/>
          <w:iCs/>
          <w:color w:val="2E74B5"/>
          <w:sz w:val="32"/>
          <w:szCs w:val="32"/>
        </w:rPr>
        <w:t xml:space="preserve">Travel Package Purchase Prediction</w:t>
      </w:r>
    </w:p>
    <w:p>
      <w:pPr>
        <w:pBdr>
          <w:bottom w:val="single" w:color="2E74B5" w:sz="6"/>
        </w:pBdr>
        <w:spacing w:before="400" w:after="80"/>
        <w:jc w:val="center"/>
      </w:pPr>
      <w:r>
        <w:rPr>
          <w:rFonts w:ascii="Arial" w:cs="Arial" w:eastAsia="Arial" w:hAnsi="Arial"/>
          <w:sz w:val="22"/>
          <w:szCs w:val="22"/>
        </w:rPr>
        <w:t xml:space="preserve"/>
      </w:r>
    </w:p>
    <w:p>
      <w:pPr>
        <w:spacing w:before="400" w:after="80"/>
        <w:jc w:val="center"/>
      </w:pPr>
      <w:r>
        <w:rPr>
          <w:rFonts w:ascii="Arial" w:cs="Arial" w:eastAsia="Arial" w:hAnsi="Arial"/>
          <w:color w:val="444444"/>
          <w:sz w:val="24"/>
          <w:szCs w:val="24"/>
        </w:rPr>
        <w:t xml:space="preserve">Comparing Artificial Neural Network vs. Logistic Regression Baseline</w:t>
      </w:r>
    </w:p>
    <w:p>
      <w:pPr>
        <w:spacing w:before="1600" w:after="80"/>
        <w:jc w:val="center"/>
      </w:pPr>
      <w:r>
        <w:rPr>
          <w:rFonts w:ascii="Arial" w:cs="Arial" w:eastAsia="Arial" w:hAnsi="Arial"/>
          <w:color w:val="444444"/>
          <w:sz w:val="20"/>
          <w:szCs w:val="20"/>
        </w:rPr>
        <w:t xml:space="preserve">Dataset: Holiday Travel Packages  |  Total Records: 3,208</w:t>
      </w:r>
    </w:p>
    <w:p>
      <w:pPr>
        <w:spacing w:after="80"/>
        <w:jc w:val="center"/>
      </w:pPr>
      <w:r>
        <w:rPr>
          <w:rFonts w:ascii="Arial" w:cs="Arial" w:eastAsia="Arial" w:hAnsi="Arial"/>
          <w:color w:val="444444"/>
          <w:sz w:val="20"/>
          <w:szCs w:val="20"/>
        </w:rPr>
        <w:t xml:space="preserve">February 2026</w:t>
      </w:r>
    </w:p>
    <w:p>
      <w:r>
        <w:br w:type="page"/>
      </w:r>
    </w:p>
    <w:p>
      <w:pPr>
        <w:pStyle w:val="Heading1"/>
        <w:pBdr>
          <w:bottom w:val="single" w:color="2E74B5" w:sz="8" w:space="4"/>
        </w:pBdr>
        <w:spacing w:before="320" w:after="160"/>
      </w:pPr>
      <w:r>
        <w:rPr>
          <w:rFonts w:ascii="Arial" w:cs="Arial" w:eastAsia="Arial" w:hAnsi="Arial"/>
          <w:b/>
          <w:bCs/>
          <w:color w:val="1F3864"/>
          <w:sz w:val="32"/>
          <w:szCs w:val="32"/>
        </w:rPr>
        <w:t xml:space="preserve">Executive Summary</w:t>
      </w:r>
    </w:p>
    <w:p>
      <w:pPr>
        <w:spacing w:after="120"/>
        <w:jc w:val="both"/>
      </w:pPr>
      <w:r>
        <w:rPr>
          <w:rFonts w:ascii="Arial" w:cs="Arial" w:eastAsia="Arial" w:hAnsi="Arial"/>
          <w:b w:val="false"/>
          <w:bCs w:val="false"/>
          <w:color w:val="444444"/>
          <w:sz w:val="22"/>
          <w:szCs w:val="22"/>
        </w:rPr>
        <w:t xml:space="preserve">This report presents a complete machine learning pipeline developed to predict whether a customer will purchase a travel package (ProdTaken = 1) based on demographic, financial, and behavioral data. Two models were built and evaluated: a Logistic Regression baseline and an Artificial Neural Network (ANN) as the primary model.</w:t>
      </w:r>
    </w:p>
    <w:p>
      <w:pPr>
        <w:spacing w:after="120"/>
        <w:jc w:val="both"/>
      </w:pPr>
      <w:r>
        <w:rPr>
          <w:rFonts w:ascii="Arial" w:cs="Arial" w:eastAsia="Arial" w:hAnsi="Arial"/>
          <w:b w:val="false"/>
          <w:bCs w:val="false"/>
          <w:color w:val="444444"/>
          <w:sz w:val="22"/>
          <w:szCs w:val="22"/>
        </w:rPr>
        <w:t xml:space="preserve">The ANN substantially outperformed the baseline across all key metrics. On the held-out test set, the ANN achieved an accuracy of 94.64% and an AUC of 0.9701, compared to the baseline's 84.45% accuracy and AUC of 0.8242. Critically, the ANN demonstrated a recall of 79% for the positive class (customers who purchase), versus only 35% for the baseline — a 44 percentage-point improvement that directly translates to better identification of potential buyers.</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Metric</w:t>
            </w:r>
          </w:p>
        </w:tc>
        <w:tc>
          <w:tcPr>
            <w:tcW w:type="dxa" w:w="312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ANN (Final)</w:t>
            </w:r>
          </w:p>
        </w:tc>
        <w:tc>
          <w:tcPr>
            <w:tcW w:type="dxa" w:w="312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Logistic Regression</w:t>
            </w:r>
          </w:p>
        </w:tc>
      </w:tr>
      <w:tr>
        <w:tc>
          <w:tcPr>
            <w:tcW w:type="dxa" w:w="312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bCs/>
                <w:color w:val="1A1A1A"/>
                <w:sz w:val="20"/>
                <w:szCs w:val="20"/>
              </w:rPr>
              <w:t xml:space="preserve">Accuracy</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20"/>
                <w:szCs w:val="20"/>
              </w:rPr>
              <w:t xml:space="preserve">94.64%</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20"/>
                <w:szCs w:val="20"/>
              </w:rPr>
              <w:t xml:space="preserve">84.45%</w:t>
            </w:r>
          </w:p>
        </w:tc>
      </w:tr>
      <w:tr>
        <w:tc>
          <w:tcPr>
            <w:tcW w:type="dxa" w:w="312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bCs/>
                <w:color w:val="1A1A1A"/>
                <w:sz w:val="20"/>
                <w:szCs w:val="20"/>
              </w:rPr>
              <w:t xml:space="preserve">AUC</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20"/>
                <w:szCs w:val="20"/>
              </w:rPr>
              <w:t xml:space="preserve">0.9701</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20"/>
                <w:szCs w:val="20"/>
              </w:rPr>
              <w:t xml:space="preserve">0.8242</w:t>
            </w:r>
          </w:p>
        </w:tc>
      </w:tr>
      <w:tr>
        <w:tc>
          <w:tcPr>
            <w:tcW w:type="dxa" w:w="312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bCs/>
                <w:color w:val="1A1A1A"/>
                <w:sz w:val="20"/>
                <w:szCs w:val="20"/>
              </w:rPr>
              <w:t xml:space="preserve">F1 Score (Class 1)</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20"/>
                <w:szCs w:val="20"/>
              </w:rPr>
              <w:t xml:space="preserve">0.8504</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20"/>
                <w:szCs w:val="20"/>
              </w:rPr>
              <w:t xml:space="preserve">0.4629</w:t>
            </w:r>
          </w:p>
        </w:tc>
      </w:tr>
      <w:tr>
        <w:tc>
          <w:tcPr>
            <w:tcW w:type="dxa" w:w="312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bCs/>
                <w:color w:val="1A1A1A"/>
                <w:sz w:val="20"/>
                <w:szCs w:val="20"/>
              </w:rPr>
              <w:t xml:space="preserve">Recall (Class 1)</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7A1A"/>
                <w:sz w:val="20"/>
                <w:szCs w:val="20"/>
              </w:rPr>
              <w:t xml:space="preserve">79%</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AA0000"/>
                <w:sz w:val="20"/>
                <w:szCs w:val="20"/>
              </w:rPr>
              <w:t xml:space="preserve">35%</w:t>
            </w:r>
          </w:p>
        </w:tc>
      </w:tr>
      <w:tr>
        <w:tc>
          <w:tcPr>
            <w:tcW w:type="dxa" w:w="312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bCs/>
                <w:color w:val="1A1A1A"/>
                <w:sz w:val="20"/>
                <w:szCs w:val="20"/>
              </w:rPr>
              <w:t xml:space="preserve">Precision (Class 1)</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20"/>
                <w:szCs w:val="20"/>
              </w:rPr>
              <w:t xml:space="preserve">92%</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20"/>
                <w:szCs w:val="20"/>
              </w:rPr>
              <w:t xml:space="preserve">69%</w:t>
            </w:r>
          </w:p>
        </w:tc>
      </w:tr>
    </w:tbl>
    <w:p>
      <w:pPr>
        <w:spacing w:after="80"/>
      </w:pPr>
      <w:r>
        <w:t xml:space="preserve"/>
      </w:r>
    </w:p>
    <w:p>
      <w:pPr>
        <w:spacing w:after="120"/>
        <w:jc w:val="both"/>
      </w:pPr>
      <w:r>
        <w:rPr>
          <w:rFonts w:ascii="Arial" w:cs="Arial" w:eastAsia="Arial" w:hAnsi="Arial"/>
          <w:b w:val="false"/>
          <w:bCs w:val="false"/>
          <w:color w:val="444444"/>
          <w:sz w:val="22"/>
          <w:szCs w:val="22"/>
        </w:rPr>
        <w:t xml:space="preserve">The ANN is recommended for deployment as the production model for targeting prospective travel package customers.</w:t>
      </w:r>
    </w:p>
    <w:p>
      <w:r>
        <w:br w:type="page"/>
      </w:r>
    </w:p>
    <w:p>
      <w:pPr>
        <w:pStyle w:val="Heading1"/>
        <w:pBdr>
          <w:bottom w:val="single" w:color="2E74B5" w:sz="8" w:space="4"/>
        </w:pBdr>
        <w:spacing w:before="320" w:after="160"/>
      </w:pPr>
      <w:r>
        <w:rPr>
          <w:rFonts w:ascii="Arial" w:cs="Arial" w:eastAsia="Arial" w:hAnsi="Arial"/>
          <w:b/>
          <w:bCs/>
          <w:color w:val="1F3864"/>
          <w:sz w:val="32"/>
          <w:szCs w:val="32"/>
        </w:rPr>
        <w:t xml:space="preserve">1. Data Preparation</w:t>
      </w:r>
    </w:p>
    <w:p>
      <w:pPr>
        <w:pStyle w:val="Heading2"/>
        <w:spacing w:before="240" w:after="120"/>
      </w:pPr>
      <w:r>
        <w:rPr>
          <w:rFonts w:ascii="Arial" w:cs="Arial" w:eastAsia="Arial" w:hAnsi="Arial"/>
          <w:b/>
          <w:bCs/>
          <w:color w:val="2E74B5"/>
          <w:sz w:val="26"/>
          <w:szCs w:val="26"/>
        </w:rPr>
        <w:t xml:space="preserve">1.1 Dataset Overview</w:t>
      </w:r>
    </w:p>
    <w:p>
      <w:pPr>
        <w:spacing w:after="120"/>
        <w:jc w:val="both"/>
      </w:pPr>
      <w:r>
        <w:rPr>
          <w:rFonts w:ascii="Arial" w:cs="Arial" w:eastAsia="Arial" w:hAnsi="Arial"/>
          <w:b w:val="false"/>
          <w:bCs w:val="false"/>
          <w:color w:val="444444"/>
          <w:sz w:val="22"/>
          <w:szCs w:val="22"/>
        </w:rPr>
        <w:t xml:space="preserve">The dataset consists of 3,208 customer records collected from a travel company's sales outreach program. Each record captures customer demographics, financial information, and sales interaction data. The target variable, ProdTaken, is a binary flag indicating whether the customer purchased a travel package (1 = purchased, 0 = not purchased).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00"/>
        <w:gridCol w:w="3360"/>
      </w:tblGrid>
      <w:tr>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Feature</w:t>
            </w:r>
          </w:p>
        </w:tc>
        <w:tc>
          <w:tcPr>
            <w:tcW w:type="dxa" w:w="3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Type</w:t>
            </w:r>
          </w:p>
        </w:tc>
        <w:tc>
          <w:tcPr>
            <w:tcW w:type="dxa" w:w="33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Description</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1A1A1A"/>
                <w:sz w:val="20"/>
                <w:szCs w:val="20"/>
              </w:rPr>
              <w:t xml:space="preserve">Age</w:t>
            </w:r>
          </w:p>
        </w:tc>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Numeric (Float)</w:t>
            </w:r>
          </w:p>
        </w:tc>
        <w:tc>
          <w:tcPr>
            <w:tcW w:type="dxa" w:w="3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Customer age (18–61, mean 37.2)</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1A1A1A"/>
                <w:sz w:val="20"/>
                <w:szCs w:val="20"/>
              </w:rPr>
              <w:t xml:space="preserve">TypeofContact</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Categorical</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Self Enquiry / Company Invited</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1A1A1A"/>
                <w:sz w:val="20"/>
                <w:szCs w:val="20"/>
              </w:rPr>
              <w:t xml:space="preserve">CityTier</w:t>
            </w:r>
          </w:p>
        </w:tc>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Numeric (Int)</w:t>
            </w:r>
          </w:p>
        </w:tc>
        <w:tc>
          <w:tcPr>
            <w:tcW w:type="dxa" w:w="3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City classification tier (1–3)</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1A1A1A"/>
                <w:sz w:val="20"/>
                <w:szCs w:val="20"/>
              </w:rPr>
              <w:t xml:space="preserve">DurationOfPitch</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Numeric (Float)</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Sales pitch duration in minutes</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1A1A1A"/>
                <w:sz w:val="20"/>
                <w:szCs w:val="20"/>
              </w:rPr>
              <w:t xml:space="preserve">Occupation</w:t>
            </w:r>
          </w:p>
        </w:tc>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Categorical</w:t>
            </w:r>
          </w:p>
        </w:tc>
        <w:tc>
          <w:tcPr>
            <w:tcW w:type="dxa" w:w="3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Salaried / Small Business / Large Business / Free Lancer</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1A1A1A"/>
                <w:sz w:val="20"/>
                <w:szCs w:val="20"/>
              </w:rPr>
              <w:t xml:space="preserve">Gender</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Categorical</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Male / Female</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1A1A1A"/>
                <w:sz w:val="20"/>
                <w:szCs w:val="20"/>
              </w:rPr>
              <w:t xml:space="preserve">NumberOfPersonVisiting</w:t>
            </w:r>
          </w:p>
        </w:tc>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Numeric (Int)</w:t>
            </w:r>
          </w:p>
        </w:tc>
        <w:tc>
          <w:tcPr>
            <w:tcW w:type="dxa" w:w="3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Group size for the trip</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1A1A1A"/>
                <w:sz w:val="20"/>
                <w:szCs w:val="20"/>
              </w:rPr>
              <w:t xml:space="preserve">NumberOfFollowups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Numeric (Float)</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Number of follow-up calls made</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1A1A1A"/>
                <w:sz w:val="20"/>
                <w:szCs w:val="20"/>
              </w:rPr>
              <w:t xml:space="preserve">ProductPitched</w:t>
            </w:r>
          </w:p>
        </w:tc>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Categorical</w:t>
            </w:r>
          </w:p>
        </w:tc>
        <w:tc>
          <w:tcPr>
            <w:tcW w:type="dxa" w:w="3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Basic / Standard / Deluxe / Super Deluxe / King</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1A1A1A"/>
                <w:sz w:val="20"/>
                <w:szCs w:val="20"/>
              </w:rPr>
              <w:t xml:space="preserve">PreferredPropertyStar</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Numeric (Float)</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Star rating preference for accommodation</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1A1A1A"/>
                <w:sz w:val="20"/>
                <w:szCs w:val="20"/>
              </w:rPr>
              <w:t xml:space="preserve">MaritalStatus</w:t>
            </w:r>
          </w:p>
        </w:tc>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Categorical</w:t>
            </w:r>
          </w:p>
        </w:tc>
        <w:tc>
          <w:tcPr>
            <w:tcW w:type="dxa" w:w="3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Married / Unmarried / Divorced / Single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1A1A1A"/>
                <w:sz w:val="20"/>
                <w:szCs w:val="20"/>
              </w:rPr>
              <w:t xml:space="preserve">NumberOfTrips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Numeric (Float)</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Number of trips taken historically</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1A1A1A"/>
                <w:sz w:val="20"/>
                <w:szCs w:val="20"/>
              </w:rPr>
              <w:t xml:space="preserve">Passport</w:t>
            </w:r>
          </w:p>
        </w:tc>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Binary</w:t>
            </w:r>
          </w:p>
        </w:tc>
        <w:tc>
          <w:tcPr>
            <w:tcW w:type="dxa" w:w="3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Holds a passport (1 = Yes, 0 = No)</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1A1A1A"/>
                <w:sz w:val="20"/>
                <w:szCs w:val="20"/>
              </w:rPr>
              <w:t xml:space="preserve">PitchSatisfactionScore</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Numeric (Int)</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Satisfaction score after pitch (1–5)</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1A1A1A"/>
                <w:sz w:val="20"/>
                <w:szCs w:val="20"/>
              </w:rPr>
              <w:t xml:space="preserve">OwnCar</w:t>
            </w:r>
          </w:p>
        </w:tc>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Binary</w:t>
            </w:r>
          </w:p>
        </w:tc>
        <w:tc>
          <w:tcPr>
            <w:tcW w:type="dxa" w:w="3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Owns a car (1 = Yes, 0 = No)</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1A1A1A"/>
                <w:sz w:val="20"/>
                <w:szCs w:val="20"/>
              </w:rPr>
              <w:t xml:space="preserve">NumberOfChildrenVisiting</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Numeric (Float)</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Number of children in the travel group</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1A1A1A"/>
                <w:sz w:val="20"/>
                <w:szCs w:val="20"/>
              </w:rPr>
              <w:t xml:space="preserve">Designation</w:t>
            </w:r>
          </w:p>
        </w:tc>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Categorical</w:t>
            </w:r>
          </w:p>
        </w:tc>
        <w:tc>
          <w:tcPr>
            <w:tcW w:type="dxa" w:w="3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Executive / Manager / Senior Manager / AVP / VP</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1A1A1A"/>
                <w:sz w:val="20"/>
                <w:szCs w:val="20"/>
              </w:rPr>
              <w:t xml:space="preserve">MonthlyIncome</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Numeric (Float)</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Monthly income in currency units</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1A1A1A"/>
                <w:sz w:val="20"/>
                <w:szCs w:val="20"/>
              </w:rPr>
              <w:t xml:space="preserve">ProdTaken</w:t>
            </w:r>
          </w:p>
        </w:tc>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Binary (Target)</w:t>
            </w:r>
          </w:p>
        </w:tc>
        <w:tc>
          <w:tcPr>
            <w:tcW w:type="dxa" w:w="3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1 = purchased, 0 = did not purchase</w:t>
            </w:r>
          </w:p>
        </w:tc>
      </w:tr>
    </w:tbl>
    <w:p>
      <w:pPr>
        <w:spacing w:after="80"/>
      </w:pPr>
      <w:r>
        <w:t xml:space="preserve"/>
      </w:r>
    </w:p>
    <w:p>
      <w:pPr>
        <w:pStyle w:val="Heading2"/>
        <w:spacing w:before="240" w:after="120"/>
      </w:pPr>
      <w:r>
        <w:rPr>
          <w:rFonts w:ascii="Arial" w:cs="Arial" w:eastAsia="Arial" w:hAnsi="Arial"/>
          <w:b/>
          <w:bCs/>
          <w:color w:val="2E74B5"/>
          <w:sz w:val="26"/>
          <w:szCs w:val="26"/>
        </w:rPr>
        <w:t xml:space="preserve">1.2 Missing Values &amp; Data Quality</w:t>
      </w:r>
    </w:p>
    <w:p>
      <w:pPr>
        <w:spacing w:after="120"/>
        <w:jc w:val="both"/>
      </w:pPr>
      <w:r>
        <w:rPr>
          <w:rFonts w:ascii="Arial" w:cs="Arial" w:eastAsia="Arial" w:hAnsi="Arial"/>
          <w:b w:val="false"/>
          <w:bCs w:val="false"/>
          <w:color w:val="444444"/>
          <w:sz w:val="22"/>
          <w:szCs w:val="22"/>
        </w:rPr>
        <w:t xml:space="preserve">Upon inspection, the dataset contained no missing values across all 19 columns, requiring no imputation. However, a minor data quality issue was observed in the Gender column, which contained a third erroneous category, 'Fe Male' (121 records), alongside the standard 'Male' and 'Female' labels. This was resolved during one-hot encoding by treating each distinct string as a separate category. Additionally, the MaritalStatus column contains both 'Single' and 'Unmarried' as distinct categories, which may represent the same state but were kept as-is to avoid making unverified assumptions.</w:t>
      </w:r>
    </w:p>
    <w:p>
      <w:pPr>
        <w:pStyle w:val="Heading2"/>
        <w:spacing w:before="240" w:after="120"/>
      </w:pPr>
      <w:r>
        <w:rPr>
          <w:rFonts w:ascii="Arial" w:cs="Arial" w:eastAsia="Arial" w:hAnsi="Arial"/>
          <w:b/>
          <w:bCs/>
          <w:color w:val="2E74B5"/>
          <w:sz w:val="26"/>
          <w:szCs w:val="26"/>
        </w:rPr>
        <w:t xml:space="preserve">1.3 Class Imbalance</w:t>
      </w:r>
    </w:p>
    <w:p>
      <w:pPr>
        <w:spacing w:after="120"/>
        <w:jc w:val="both"/>
      </w:pPr>
      <w:r>
        <w:rPr>
          <w:rFonts w:ascii="Arial" w:cs="Arial" w:eastAsia="Arial" w:hAnsi="Arial"/>
          <w:b w:val="false"/>
          <w:bCs w:val="false"/>
          <w:color w:val="444444"/>
          <w:sz w:val="22"/>
          <w:szCs w:val="22"/>
        </w:rPr>
        <w:t xml:space="preserve">The target variable exhibits a significant class imbalance: 2,589 records (80.7%) represent customers who did not purchase (Class 0), and only 619 records (19.3%) represent purchasers (Class 1). This imbalance ratio of approximately 4.2:1 was a key consideration in model selection and evaluation — it explains why accuracy alone is an insufficient metric, and why recall for Class 1 was prioritized as a critical evaluation criterion.</w:t>
      </w:r>
    </w:p>
    <w:p>
      <w:pPr>
        <w:pStyle w:val="Heading2"/>
        <w:spacing w:before="240" w:after="120"/>
      </w:pPr>
      <w:r>
        <w:rPr>
          <w:rFonts w:ascii="Arial" w:cs="Arial" w:eastAsia="Arial" w:hAnsi="Arial"/>
          <w:b/>
          <w:bCs/>
          <w:color w:val="2E74B5"/>
          <w:sz w:val="26"/>
          <w:szCs w:val="26"/>
        </w:rPr>
        <w:t xml:space="preserve">1.4 Train / Test Split</w:t>
      </w:r>
    </w:p>
    <w:p>
      <w:pPr>
        <w:spacing w:after="120"/>
        <w:jc w:val="both"/>
      </w:pPr>
      <w:r>
        <w:rPr>
          <w:rFonts w:ascii="Arial" w:cs="Arial" w:eastAsia="Arial" w:hAnsi="Arial"/>
          <w:b w:val="false"/>
          <w:bCs w:val="false"/>
          <w:color w:val="444444"/>
          <w:sz w:val="22"/>
          <w:szCs w:val="22"/>
        </w:rPr>
        <w:t xml:space="preserve">The data was split into training and test sets using an 80/20 ratio with stratified sampling to preserve the class distribution in both subsets. The random seed was fixed at 42 for reproducibility. This yielded approximately 2,566 training records and 642 test records.</w:t>
      </w: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2000"/>
      </w:tblGrid>
      <w:tr>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Split</w:t>
            </w:r>
          </w:p>
        </w:tc>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Records</w:t>
            </w:r>
          </w:p>
        </w:tc>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 of Total</w:t>
            </w:r>
          </w:p>
        </w:tc>
      </w:tr>
      <w:tr>
        <w:tc>
          <w:tcPr>
            <w:tcW w:type="dxa" w:w="2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bCs/>
                <w:color w:val="1A1A1A"/>
                <w:sz w:val="20"/>
                <w:szCs w:val="20"/>
              </w:rPr>
              <w:t xml:space="preserve">Training Set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20"/>
                <w:szCs w:val="20"/>
              </w:rPr>
              <w:t xml:space="preserve">~2,566</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20"/>
                <w:szCs w:val="20"/>
              </w:rPr>
              <w:t xml:space="preserve">80%</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1A1A1A"/>
                <w:sz w:val="20"/>
                <w:szCs w:val="20"/>
              </w:rPr>
              <w:t xml:space="preserve">Test Set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20"/>
                <w:szCs w:val="20"/>
              </w:rPr>
              <w:t xml:space="preserve">642</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20"/>
                <w:szCs w:val="20"/>
              </w:rPr>
              <w:t xml:space="preserve">20%</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1A1A1A"/>
                <w:sz w:val="20"/>
                <w:szCs w:val="20"/>
              </w:rPr>
              <w:t xml:space="preserve">Total</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1A1A1A"/>
                <w:sz w:val="20"/>
                <w:szCs w:val="20"/>
              </w:rPr>
              <w:t xml:space="preserve">3,208</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1A1A1A"/>
                <w:sz w:val="20"/>
                <w:szCs w:val="20"/>
              </w:rPr>
              <w:t xml:space="preserve">100%</w:t>
            </w:r>
          </w:p>
        </w:tc>
      </w:tr>
    </w:tbl>
    <w:p>
      <w:r>
        <w:br w:type="page"/>
      </w:r>
    </w:p>
    <w:p>
      <w:pPr>
        <w:pStyle w:val="Heading1"/>
        <w:pBdr>
          <w:bottom w:val="single" w:color="2E74B5" w:sz="8" w:space="4"/>
        </w:pBdr>
        <w:spacing w:before="320" w:after="160"/>
      </w:pPr>
      <w:r>
        <w:rPr>
          <w:rFonts w:ascii="Arial" w:cs="Arial" w:eastAsia="Arial" w:hAnsi="Arial"/>
          <w:b/>
          <w:bCs/>
          <w:color w:val="1F3864"/>
          <w:sz w:val="32"/>
          <w:szCs w:val="32"/>
        </w:rPr>
        <w:t xml:space="preserve">2. Analysis</w:t>
      </w:r>
    </w:p>
    <w:p>
      <w:pPr>
        <w:pStyle w:val="Heading2"/>
        <w:spacing w:before="240" w:after="120"/>
      </w:pPr>
      <w:r>
        <w:rPr>
          <w:rFonts w:ascii="Arial" w:cs="Arial" w:eastAsia="Arial" w:hAnsi="Arial"/>
          <w:b/>
          <w:bCs/>
          <w:color w:val="2E74B5"/>
          <w:sz w:val="26"/>
          <w:szCs w:val="26"/>
        </w:rPr>
        <w:t xml:space="preserve">2.1 Target Variable Distribution</w:t>
      </w:r>
    </w:p>
    <w:p>
      <w:pPr>
        <w:spacing w:after="120"/>
        <w:jc w:val="both"/>
      </w:pPr>
      <w:r>
        <w:rPr>
          <w:rFonts w:ascii="Arial" w:cs="Arial" w:eastAsia="Arial" w:hAnsi="Arial"/>
          <w:b w:val="false"/>
          <w:bCs w:val="false"/>
          <w:color w:val="444444"/>
          <w:sz w:val="22"/>
          <w:szCs w:val="22"/>
        </w:rPr>
        <w:t xml:space="preserve">The strong class imbalance (80.7% non-purchasers vs. 19.3% purchasers) immediately flags that a naive model that always predicts Class 0 would achieve ~81% accuracy without any real learning. This sets a minimum performance threshold and underscores the importance of metrics beyond accuracy, particularly recall and AUC.</w:t>
      </w:r>
    </w:p>
    <w:p>
      <w:pPr>
        <w:pStyle w:val="Heading2"/>
        <w:spacing w:before="240" w:after="120"/>
      </w:pPr>
      <w:r>
        <w:rPr>
          <w:rFonts w:ascii="Arial" w:cs="Arial" w:eastAsia="Arial" w:hAnsi="Arial"/>
          <w:b/>
          <w:bCs/>
          <w:color w:val="2E74B5"/>
          <w:sz w:val="26"/>
          <w:szCs w:val="26"/>
        </w:rPr>
        <w:t xml:space="preserve">2.2 Feature Observations</w:t>
      </w:r>
    </w:p>
    <w:p>
      <w:pPr>
        <w:spacing w:after="120"/>
        <w:jc w:val="both"/>
      </w:pPr>
      <w:r>
        <w:rPr>
          <w:rFonts w:ascii="Arial" w:cs="Arial" w:eastAsia="Arial" w:hAnsi="Arial"/>
          <w:b w:val="false"/>
          <w:bCs w:val="false"/>
          <w:color w:val="444444"/>
          <w:sz w:val="22"/>
          <w:szCs w:val="22"/>
        </w:rPr>
        <w:t xml:space="preserve">Demographic Features: The customer base spans ages 18 to 61 with a mean of 37.2 years, suggesting a working-age adult audience. The majority are male (1,923 vs. 1,164 female), and more than half (1,535) are married. The majority reside in Tier 1 cities (the most common CityTier value), indicating an urban-centric customer base.</w:t>
      </w:r>
    </w:p>
    <w:p>
      <w:pPr>
        <w:spacing w:after="120"/>
        <w:jc w:val="both"/>
      </w:pPr>
      <w:r>
        <w:rPr>
          <w:rFonts w:ascii="Arial" w:cs="Arial" w:eastAsia="Arial" w:hAnsi="Arial"/>
          <w:b w:val="false"/>
          <w:bCs w:val="false"/>
          <w:color w:val="444444"/>
          <w:sz w:val="22"/>
          <w:szCs w:val="22"/>
        </w:rPr>
        <w:t xml:space="preserve">Financial Features: Monthly income ranges widely from as low as 1,000 to 38,304 with a mean of approximately 23,096. The occupational spread is dominated by salaried employees (1,563) and small business owners (1,339), with very few freelancers (2 records) — a potential outlier category.</w:t>
      </w:r>
    </w:p>
    <w:p>
      <w:pPr>
        <w:spacing w:after="120"/>
        <w:jc w:val="both"/>
      </w:pPr>
      <w:r>
        <w:rPr>
          <w:rFonts w:ascii="Arial" w:cs="Arial" w:eastAsia="Arial" w:hAnsi="Arial"/>
          <w:b w:val="false"/>
          <w:bCs w:val="false"/>
          <w:color w:val="444444"/>
          <w:sz w:val="22"/>
          <w:szCs w:val="22"/>
        </w:rPr>
        <w:t xml:space="preserve">Sales Interaction Features: TypeofContact shows that 71% of records came from self-enquiry, suggesting inbound interest is more common than company-driven outreach. The NumberOfFollowups and PitchSatisfactionScore are expected to be strong predictors, as higher engagement and satisfaction logically correlate with a purchase decision.</w:t>
      </w:r>
    </w:p>
    <w:p>
      <w:pPr>
        <w:spacing w:after="120"/>
        <w:jc w:val="both"/>
      </w:pPr>
      <w:r>
        <w:rPr>
          <w:rFonts w:ascii="Arial" w:cs="Arial" w:eastAsia="Arial" w:hAnsi="Arial"/>
          <w:b w:val="false"/>
          <w:bCs w:val="false"/>
          <w:color w:val="444444"/>
          <w:sz w:val="22"/>
          <w:szCs w:val="22"/>
        </w:rPr>
        <w:t xml:space="preserve">Product Distribution: The most pitched product was Basic (1,257), followed by Deluxe (1,128) and Standard (569). The distribution of Designation closely mirrors ProductPitched, which is not coincidental — product tier tends to align with seniority level.</w:t>
      </w:r>
    </w:p>
    <w:p>
      <w:pPr>
        <w:pStyle w:val="Heading2"/>
        <w:spacing w:before="240" w:after="120"/>
      </w:pPr>
      <w:r>
        <w:rPr>
          <w:rFonts w:ascii="Arial" w:cs="Arial" w:eastAsia="Arial" w:hAnsi="Arial"/>
          <w:b/>
          <w:bCs/>
          <w:color w:val="2E74B5"/>
          <w:sz w:val="26"/>
          <w:szCs w:val="26"/>
        </w:rPr>
        <w:t xml:space="preserve">2.3 Key Analytical Observations</w:t>
      </w:r>
    </w:p>
    <w:p>
      <w:pPr>
        <w:spacing w:after="120"/>
        <w:jc w:val="both"/>
      </w:pPr>
      <w:r>
        <w:rPr>
          <w:rFonts w:ascii="Arial" w:cs="Arial" w:eastAsia="Arial" w:hAnsi="Arial"/>
          <w:b w:val="false"/>
          <w:bCs w:val="false"/>
          <w:color w:val="444444"/>
          <w:sz w:val="22"/>
          <w:szCs w:val="22"/>
        </w:rPr>
        <w:t xml:space="preserve">Customers with a Passport are likely to have greater travel propensity, making this a potentially discriminative binary feature. NumberOfTrips historically provides a proxy for travel enthusiasm. The heavy skew in class distribution means that the model must learn to identify patterns among a minority group, making the learning task genuinely challenging for simpler linear models.</w:t>
      </w:r>
    </w:p>
    <w:p>
      <w:r>
        <w:br w:type="page"/>
      </w:r>
    </w:p>
    <w:p>
      <w:pPr>
        <w:pStyle w:val="Heading1"/>
        <w:pBdr>
          <w:bottom w:val="single" w:color="2E74B5" w:sz="8" w:space="4"/>
        </w:pBdr>
        <w:spacing w:before="320" w:after="160"/>
      </w:pPr>
      <w:r>
        <w:rPr>
          <w:rFonts w:ascii="Arial" w:cs="Arial" w:eastAsia="Arial" w:hAnsi="Arial"/>
          <w:b/>
          <w:bCs/>
          <w:color w:val="1F3864"/>
          <w:sz w:val="32"/>
          <w:szCs w:val="32"/>
        </w:rPr>
        <w:t xml:space="preserve">3. Feature Extraction</w:t>
      </w:r>
    </w:p>
    <w:p>
      <w:pPr>
        <w:pStyle w:val="Heading2"/>
        <w:spacing w:before="240" w:after="120"/>
      </w:pPr>
      <w:r>
        <w:rPr>
          <w:rFonts w:ascii="Arial" w:cs="Arial" w:eastAsia="Arial" w:hAnsi="Arial"/>
          <w:b/>
          <w:bCs/>
          <w:color w:val="2E74B5"/>
          <w:sz w:val="26"/>
          <w:szCs w:val="26"/>
        </w:rPr>
        <w:t xml:space="preserve">3.1 Handling Categorical Variables</w:t>
      </w:r>
    </w:p>
    <w:p>
      <w:pPr>
        <w:spacing w:after="120"/>
        <w:jc w:val="both"/>
      </w:pPr>
      <w:r>
        <w:rPr>
          <w:rFonts w:ascii="Arial" w:cs="Arial" w:eastAsia="Arial" w:hAnsi="Arial"/>
          <w:b w:val="false"/>
          <w:bCs w:val="false"/>
          <w:color w:val="444444"/>
          <w:sz w:val="22"/>
          <w:szCs w:val="22"/>
        </w:rPr>
        <w:t xml:space="preserve">All categorical columns were identified automatically using Pandas dtype detection (select_dtypes(include=['object'])). The following columns were treated as categorical: TypeofContact, Occupation, Gender, ProductPitched, MaritalStatus, and Designation. These were transformed using one-hot encoding (pd.get_dummies) with drop_first=True to avoid multicollinearity by removing the first dummy variable from each encoded group.</w:t>
      </w:r>
    </w:p>
    <w:p>
      <w:pPr>
        <w:spacing w:after="120"/>
        <w:jc w:val="both"/>
      </w:pPr>
      <w:r>
        <w:rPr>
          <w:rFonts w:ascii="Arial" w:cs="Arial" w:eastAsia="Arial" w:hAnsi="Arial"/>
          <w:b w:val="false"/>
          <w:bCs w:val="false"/>
          <w:color w:val="444444"/>
          <w:sz w:val="22"/>
          <w:szCs w:val="22"/>
        </w:rPr>
        <w:t xml:space="preserve">To prevent data leakage, encoding was fitted exclusively on the training set. The test set columns were then realigned to match the training set's encoded schema using reindex with fill_value=0, ensuring any categories absent in the test set do not cause dimension mismatches.</w:t>
      </w:r>
    </w:p>
    <w:p>
      <w:pPr>
        <w:pStyle w:val="Heading2"/>
        <w:spacing w:before="240" w:after="120"/>
      </w:pPr>
      <w:r>
        <w:rPr>
          <w:rFonts w:ascii="Arial" w:cs="Arial" w:eastAsia="Arial" w:hAnsi="Arial"/>
          <w:b/>
          <w:bCs/>
          <w:color w:val="2E74B5"/>
          <w:sz w:val="26"/>
          <w:szCs w:val="26"/>
        </w:rPr>
        <w:t xml:space="preserve">3.2 Feature Scaling</w:t>
      </w:r>
    </w:p>
    <w:p>
      <w:pPr>
        <w:spacing w:after="120"/>
        <w:jc w:val="both"/>
      </w:pPr>
      <w:r>
        <w:rPr>
          <w:rFonts w:ascii="Arial" w:cs="Arial" w:eastAsia="Arial" w:hAnsi="Arial"/>
          <w:b w:val="false"/>
          <w:bCs w:val="false"/>
          <w:color w:val="444444"/>
          <w:sz w:val="22"/>
          <w:szCs w:val="22"/>
        </w:rPr>
        <w:t xml:space="preserve">All features — both original numeric columns and the newly created one-hot encoded columns — were standardized using Scikit-learn's StandardScaler. This transforms each feature to have a mean of 0 and a standard deviation of 1. Standardization was critical for two reasons: (1) it ensures that features with large numeric ranges (e.g., MonthlyIncome up to 38,304) do not dominate over binary or small-range features, and (2) neural networks with gradient-based optimization converge significantly faster and more reliably when inputs are normalized.</w:t>
      </w:r>
    </w:p>
    <w:p>
      <w:pPr>
        <w:spacing w:after="120"/>
        <w:jc w:val="both"/>
      </w:pPr>
      <w:r>
        <w:rPr>
          <w:rFonts w:ascii="Arial" w:cs="Arial" w:eastAsia="Arial" w:hAnsi="Arial"/>
          <w:b w:val="false"/>
          <w:bCs w:val="false"/>
          <w:color w:val="444444"/>
          <w:sz w:val="22"/>
          <w:szCs w:val="22"/>
        </w:rPr>
        <w:t xml:space="preserve">The scaler was fit only on the training data, and the fitted transform was applied to both training and test sets to prevent leakage of test distribution information.</w:t>
      </w:r>
    </w:p>
    <w:p>
      <w:pPr>
        <w:pStyle w:val="Heading2"/>
        <w:spacing w:before="240" w:after="120"/>
      </w:pPr>
      <w:r>
        <w:rPr>
          <w:rFonts w:ascii="Arial" w:cs="Arial" w:eastAsia="Arial" w:hAnsi="Arial"/>
          <w:b/>
          <w:bCs/>
          <w:color w:val="2E74B5"/>
          <w:sz w:val="26"/>
          <w:szCs w:val="26"/>
        </w:rPr>
        <w:t xml:space="preserve">3.3 Feature Rationale</w:t>
      </w:r>
    </w:p>
    <w:p>
      <w:pPr>
        <w:spacing w:after="120"/>
        <w:jc w:val="both"/>
      </w:pPr>
      <w:r>
        <w:rPr>
          <w:rFonts w:ascii="Arial" w:cs="Arial" w:eastAsia="Arial" w:hAnsi="Arial"/>
          <w:b w:val="false"/>
          <w:bCs w:val="false"/>
          <w:color w:val="444444"/>
          <w:sz w:val="22"/>
          <w:szCs w:val="22"/>
        </w:rPr>
        <w:t xml:space="preserve">No manual feature engineering (e.g., interaction terms or polynomial features) was performed. The rationale for this decision was that the ANN architecture — with its multiple dense hidden layers and non-linear activation functions — is inherently capable of learning complex feature interactions internally. Manually creating such interactions for Logistic Regression would have been necessary for that model to capture non-linearity, but for the ANN this was left to the model's representational capacity.</w:t>
      </w:r>
    </w:p>
    <w:p>
      <w:r>
        <w:br w:type="page"/>
      </w:r>
    </w:p>
    <w:p>
      <w:pPr>
        <w:pStyle w:val="Heading1"/>
        <w:pBdr>
          <w:bottom w:val="single" w:color="2E74B5" w:sz="8" w:space="4"/>
        </w:pBdr>
        <w:spacing w:before="320" w:after="160"/>
      </w:pPr>
      <w:r>
        <w:rPr>
          <w:rFonts w:ascii="Arial" w:cs="Arial" w:eastAsia="Arial" w:hAnsi="Arial"/>
          <w:b/>
          <w:bCs/>
          <w:color w:val="1F3864"/>
          <w:sz w:val="32"/>
          <w:szCs w:val="32"/>
        </w:rPr>
        <w:t xml:space="preserve">4. Building the Model</w:t>
      </w:r>
    </w:p>
    <w:p>
      <w:pPr>
        <w:pStyle w:val="Heading2"/>
        <w:spacing w:before="240" w:after="120"/>
      </w:pPr>
      <w:r>
        <w:rPr>
          <w:rFonts w:ascii="Arial" w:cs="Arial" w:eastAsia="Arial" w:hAnsi="Arial"/>
          <w:b/>
          <w:bCs/>
          <w:color w:val="2E74B5"/>
          <w:sz w:val="26"/>
          <w:szCs w:val="26"/>
        </w:rPr>
        <w:t xml:space="preserve">4.1 Baseline Model: Logistic Regression</w:t>
      </w:r>
    </w:p>
    <w:p>
      <w:pPr>
        <w:spacing w:after="120"/>
        <w:jc w:val="both"/>
      </w:pPr>
      <w:r>
        <w:rPr>
          <w:rFonts w:ascii="Arial" w:cs="Arial" w:eastAsia="Arial" w:hAnsi="Arial"/>
          <w:b w:val="false"/>
          <w:bCs w:val="false"/>
          <w:color w:val="444444"/>
          <w:sz w:val="22"/>
          <w:szCs w:val="22"/>
        </w:rPr>
        <w:t xml:space="preserve">A Logistic Regression model was implemented as a baseline for comparison. It was trained using the 'lbfgs' solver with a maximum of 2,000 iterations to ensure convergence. Logistic Regression is a well-understood linear classifier that provides a useful lower-bound benchmark: if the ANN does not substantially outperform it, the additional model complexity is not justified.</w:t>
      </w:r>
    </w:p>
    <w:p>
      <w:pPr>
        <w:pStyle w:val="Heading2"/>
        <w:spacing w:before="240" w:after="120"/>
      </w:pPr>
      <w:r>
        <w:rPr>
          <w:rFonts w:ascii="Arial" w:cs="Arial" w:eastAsia="Arial" w:hAnsi="Arial"/>
          <w:b/>
          <w:bCs/>
          <w:color w:val="2E74B5"/>
          <w:sz w:val="26"/>
          <w:szCs w:val="26"/>
        </w:rPr>
        <w:t xml:space="preserve">4.2 Primary Model: Artificial Neural Network (ANN)</w:t>
      </w:r>
    </w:p>
    <w:p>
      <w:pPr>
        <w:spacing w:after="120"/>
        <w:jc w:val="both"/>
      </w:pPr>
      <w:r>
        <w:rPr>
          <w:rFonts w:ascii="Arial" w:cs="Arial" w:eastAsia="Arial" w:hAnsi="Arial"/>
          <w:b w:val="false"/>
          <w:bCs w:val="false"/>
          <w:color w:val="444444"/>
          <w:sz w:val="22"/>
          <w:szCs w:val="22"/>
        </w:rPr>
        <w:t xml:space="preserve">The ANN was built using TensorFlow/Keras with a Sequential architecture. The network was designed to have sufficient capacity to capture the non-linear relationships in the data while incorporating regularization techniques to prevent overfitting on the imbalanced training set.</w:t>
      </w:r>
    </w:p>
    <w:p>
      <w:pPr>
        <w:pStyle w:val="Heading2"/>
        <w:spacing w:before="240" w:after="120"/>
      </w:pPr>
      <w:r>
        <w:rPr>
          <w:rFonts w:ascii="Arial" w:cs="Arial" w:eastAsia="Arial" w:hAnsi="Arial"/>
          <w:b/>
          <w:bCs/>
          <w:color w:val="2E74B5"/>
          <w:sz w:val="26"/>
          <w:szCs w:val="26"/>
        </w:rPr>
        <w:t xml:space="preserve">4.3 Architecture</w:t>
      </w:r>
    </w:p>
    <w:p>
      <w:pPr>
        <w:spacing w:after="120"/>
        <w:jc w:val="both"/>
      </w:pPr>
      <w:r>
        <w:rPr>
          <w:rFonts w:ascii="Arial" w:cs="Arial" w:eastAsia="Arial" w:hAnsi="Arial"/>
          <w:b w:val="false"/>
          <w:bCs w:val="false"/>
          <w:color w:val="444444"/>
          <w:sz w:val="22"/>
          <w:szCs w:val="22"/>
        </w:rPr>
        <w:t xml:space="preserve">The model consists of an input layer followed by three hidden blocks and a binary output layer: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Layer</w:t>
            </w:r>
          </w:p>
        </w:tc>
        <w:tc>
          <w:tcPr>
            <w:tcW w:type="dxa" w:w="23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Units / Operation</w:t>
            </w:r>
          </w:p>
        </w:tc>
        <w:tc>
          <w:tcPr>
            <w:tcW w:type="dxa" w:w="23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Activation</w:t>
            </w:r>
          </w:p>
        </w:tc>
        <w:tc>
          <w:tcPr>
            <w:tcW w:type="dxa" w:w="23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Regularization</w:t>
            </w:r>
          </w:p>
        </w:tc>
      </w:tr>
      <w:tr>
        <w:tc>
          <w:tcPr>
            <w:tcW w:type="dxa" w:w="234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center"/>
            </w:pPr>
            <w:r>
              <w:rPr>
                <w:rFonts w:ascii="Arial" w:cs="Arial" w:eastAsia="Arial" w:hAnsi="Arial"/>
                <w:b/>
                <w:bCs/>
                <w:color w:val="1A1A1A"/>
                <w:sz w:val="20"/>
                <w:szCs w:val="20"/>
              </w:rPr>
              <w:t xml:space="preserve">Input</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20"/>
                <w:szCs w:val="20"/>
              </w:rPr>
              <w:t xml:space="preserve">N features (varies)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20"/>
                <w:szCs w:val="20"/>
              </w:rPr>
              <w:t xml:space="preserv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20"/>
                <w:szCs w:val="20"/>
              </w:rPr>
              <w:t xml:space="preserve">—</w:t>
            </w:r>
          </w:p>
        </w:tc>
      </w:tr>
      <w:tr>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1A1A1A"/>
                <w:sz w:val="20"/>
                <w:szCs w:val="20"/>
              </w:rPr>
              <w:t xml:space="preserve">Dense 1</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20"/>
                <w:szCs w:val="20"/>
              </w:rPr>
              <w:t xml:space="preserve">128 units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20"/>
                <w:szCs w:val="20"/>
              </w:rPr>
              <w:t xml:space="preserve">ReLU</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20"/>
                <w:szCs w:val="20"/>
              </w:rPr>
              <w:t xml:space="preserve">BatchNorm + Dropout(0.2)</w:t>
            </w:r>
          </w:p>
        </w:tc>
      </w:tr>
      <w:tr>
        <w:tc>
          <w:tcPr>
            <w:tcW w:type="dxa" w:w="234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center"/>
            </w:pPr>
            <w:r>
              <w:rPr>
                <w:rFonts w:ascii="Arial" w:cs="Arial" w:eastAsia="Arial" w:hAnsi="Arial"/>
                <w:b/>
                <w:bCs/>
                <w:color w:val="1A1A1A"/>
                <w:sz w:val="20"/>
                <w:szCs w:val="20"/>
              </w:rPr>
              <w:t xml:space="preserve">Dense 2</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20"/>
                <w:szCs w:val="20"/>
              </w:rPr>
              <w:t xml:space="preserve">64 units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20"/>
                <w:szCs w:val="20"/>
              </w:rPr>
              <w:t xml:space="preserve">ReLU</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20"/>
                <w:szCs w:val="20"/>
              </w:rPr>
              <w:t xml:space="preserve">BatchNorm + Dropout(0.2)</w:t>
            </w:r>
          </w:p>
        </w:tc>
      </w:tr>
      <w:tr>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1A1A1A"/>
                <w:sz w:val="20"/>
                <w:szCs w:val="20"/>
              </w:rPr>
              <w:t xml:space="preserve">Dense 3</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20"/>
                <w:szCs w:val="20"/>
              </w:rPr>
              <w:t xml:space="preserve">32 units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20"/>
                <w:szCs w:val="20"/>
              </w:rPr>
              <w:t xml:space="preserve">ReLU</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20"/>
                <w:szCs w:val="20"/>
              </w:rPr>
              <w:t xml:space="preserve">BatchNorm + Dropout(0.2)</w:t>
            </w:r>
          </w:p>
        </w:tc>
      </w:tr>
      <w:tr>
        <w:tc>
          <w:tcPr>
            <w:tcW w:type="dxa" w:w="23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Output</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20"/>
                <w:szCs w:val="20"/>
              </w:rPr>
              <w:t xml:space="preserve">1 unit</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20"/>
                <w:szCs w:val="20"/>
              </w:rPr>
              <w:t xml:space="preserve">Sigmoid</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20"/>
                <w:szCs w:val="20"/>
              </w:rPr>
              <w:t xml:space="preserve">—</w:t>
            </w:r>
          </w:p>
        </w:tc>
      </w:tr>
    </w:tbl>
    <w:p>
      <w:pPr>
        <w:spacing w:after="80"/>
      </w:pPr>
      <w:r>
        <w:t xml:space="preserve"/>
      </w:r>
    </w:p>
    <w:p>
      <w:pPr>
        <w:pStyle w:val="Heading2"/>
        <w:spacing w:before="240" w:after="120"/>
      </w:pPr>
      <w:r>
        <w:rPr>
          <w:rFonts w:ascii="Arial" w:cs="Arial" w:eastAsia="Arial" w:hAnsi="Arial"/>
          <w:b/>
          <w:bCs/>
          <w:color w:val="2E74B5"/>
          <w:sz w:val="26"/>
          <w:szCs w:val="26"/>
        </w:rPr>
        <w:t xml:space="preserve">4.4 Design Decisions</w:t>
      </w:r>
    </w:p>
    <w:p>
      <w:pPr>
        <w:spacing w:after="120"/>
        <w:jc w:val="both"/>
      </w:pPr>
      <w:r>
        <w:rPr>
          <w:rFonts w:ascii="Arial" w:cs="Arial" w:eastAsia="Arial" w:hAnsi="Arial"/>
          <w:b w:val="false"/>
          <w:bCs w:val="false"/>
          <w:color w:val="444444"/>
          <w:sz w:val="22"/>
          <w:szCs w:val="22"/>
        </w:rPr>
        <w:t xml:space="preserve">Hidden Layer Units (128 → 64 → 32): A pyramid-shaped architecture was chosen to progressively compress the feature representation. The largest layer (128 units) learns broad low-level patterns, the middle layer (64 units) refines these into mid-level abstractions, and the smallest hidden layer (32 units) extracts the most discriminative high-level features before the classification output.</w:t>
      </w:r>
    </w:p>
    <w:p>
      <w:pPr>
        <w:spacing w:after="120"/>
        <w:jc w:val="both"/>
      </w:pPr>
      <w:r>
        <w:rPr>
          <w:rFonts w:ascii="Arial" w:cs="Arial" w:eastAsia="Arial" w:hAnsi="Arial"/>
          <w:b w:val="false"/>
          <w:bCs w:val="false"/>
          <w:color w:val="444444"/>
          <w:sz w:val="22"/>
          <w:szCs w:val="22"/>
        </w:rPr>
        <w:t xml:space="preserve">ReLU Activation: Rectified Linear Unit (ReLU) was selected for all hidden layers due to its computational efficiency and its ability to mitigate the vanishing gradient problem that affects sigmoid and tanh activations in deeper networks. ReLU allows the model to learn sparse, non-linear representations effectively.</w:t>
      </w:r>
    </w:p>
    <w:p>
      <w:pPr>
        <w:spacing w:after="120"/>
        <w:jc w:val="both"/>
      </w:pPr>
      <w:r>
        <w:rPr>
          <w:rFonts w:ascii="Arial" w:cs="Arial" w:eastAsia="Arial" w:hAnsi="Arial"/>
          <w:b w:val="false"/>
          <w:bCs w:val="false"/>
          <w:color w:val="444444"/>
          <w:sz w:val="22"/>
          <w:szCs w:val="22"/>
        </w:rPr>
        <w:t xml:space="preserve">Sigmoid Output Activation: The final layer uses a sigmoid activation to produce a probability between 0 and 1. At the default decision threshold of 0.5, predictions above this value are classified as Class 1 (purchased).</w:t>
      </w:r>
    </w:p>
    <w:p>
      <w:pPr>
        <w:spacing w:after="120"/>
        <w:jc w:val="both"/>
      </w:pPr>
      <w:r>
        <w:rPr>
          <w:rFonts w:ascii="Arial" w:cs="Arial" w:eastAsia="Arial" w:hAnsi="Arial"/>
          <w:b w:val="false"/>
          <w:bCs w:val="false"/>
          <w:color w:val="444444"/>
          <w:sz w:val="22"/>
          <w:szCs w:val="22"/>
        </w:rPr>
        <w:t xml:space="preserve">Batch Normalization: Applied after each dense layer to normalize the layer inputs during training. This stabilizes the learning process, reduces internal covariate shift, and allows the use of higher learning rates. It also provides mild regularization by reducing dependence on precise initial weight values.</w:t>
      </w:r>
    </w:p>
    <w:p>
      <w:pPr>
        <w:spacing w:after="120"/>
        <w:jc w:val="both"/>
      </w:pPr>
      <w:r>
        <w:rPr>
          <w:rFonts w:ascii="Arial" w:cs="Arial" w:eastAsia="Arial" w:hAnsi="Arial"/>
          <w:b w:val="false"/>
          <w:bCs w:val="false"/>
          <w:color w:val="444444"/>
          <w:sz w:val="22"/>
          <w:szCs w:val="22"/>
        </w:rPr>
        <w:t xml:space="preserve">Dropout (rate = 0.2): A 20% dropout rate was applied after each batch normalization step. Dropout randomly deactivates 20% of neurons during each training batch, forcing the network to learn redundant representations and preventing co-adaptation of neurons — a key regularization strategy against overfitting.</w:t>
      </w:r>
    </w:p>
    <w:p>
      <w:pPr>
        <w:pStyle w:val="Heading2"/>
        <w:spacing w:before="240" w:after="120"/>
      </w:pPr>
      <w:r>
        <w:rPr>
          <w:rFonts w:ascii="Arial" w:cs="Arial" w:eastAsia="Arial" w:hAnsi="Arial"/>
          <w:b/>
          <w:bCs/>
          <w:color w:val="2E74B5"/>
          <w:sz w:val="26"/>
          <w:szCs w:val="26"/>
        </w:rPr>
        <w:t xml:space="preserve">4.5 Training Configuration</w:t>
      </w:r>
    </w:p>
    <w:tbl>
      <w:tblPr>
        <w:tblW w:type="dxa" w:w="7200"/>
        <w:tblBorders>
          <w:top w:val="single" w:color="auto" w:sz="4"/>
          <w:left w:val="single" w:color="auto" w:sz="4"/>
          <w:bottom w:val="single" w:color="auto" w:sz="4"/>
          <w:right w:val="single" w:color="auto" w:sz="4"/>
          <w:insideH w:val="single" w:color="auto" w:sz="4"/>
          <w:insideV w:val="single" w:color="auto" w:sz="4"/>
        </w:tblBorders>
      </w:tblPr>
      <w:tblGrid>
        <w:gridCol w:w="3000"/>
        <w:gridCol w:w="4200"/>
      </w:tblGrid>
      <w:tr>
        <w:tc>
          <w:tcPr>
            <w:tcW w:type="dxa" w:w="3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Parameter</w:t>
            </w:r>
          </w:p>
        </w:tc>
        <w:tc>
          <w:tcPr>
            <w:tcW w:type="dxa" w:w="4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Value / Rationale</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1A1A1A"/>
                <w:sz w:val="20"/>
                <w:szCs w:val="20"/>
              </w:rPr>
              <w:t xml:space="preserve">Loss Function</w:t>
            </w:r>
          </w:p>
        </w:tc>
        <w:tc>
          <w:tcPr>
            <w:tcW w:type="dxa" w:w="4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Binary Cross-Entropy — standard for binary classification; penalizes confident wrong predictions more heavily</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1A1A1A"/>
                <w:sz w:val="20"/>
                <w:szCs w:val="20"/>
              </w:rPr>
              <w:t xml:space="preserve">Optimizer</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Adam (lr = 0.001) — adaptive learning rate; well-suited for sparse gradients and noisy data</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1A1A1A"/>
                <w:sz w:val="20"/>
                <w:szCs w:val="20"/>
              </w:rPr>
              <w:t xml:space="preserve">Metrics</w:t>
            </w:r>
          </w:p>
        </w:tc>
        <w:tc>
          <w:tcPr>
            <w:tcW w:type="dxa" w:w="4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Accuracy + AUC — tracks both raw correctness and ranking quality during training</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1A1A1A"/>
                <w:sz w:val="20"/>
                <w:szCs w:val="20"/>
              </w:rPr>
              <w:t xml:space="preserve">Epochs (max)</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150 — upper bound; early stopping prevents full execution</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1A1A1A"/>
                <w:sz w:val="20"/>
                <w:szCs w:val="20"/>
              </w:rPr>
              <w:t xml:space="preserve">Batch Size</w:t>
            </w:r>
          </w:p>
        </w:tc>
        <w:tc>
          <w:tcPr>
            <w:tcW w:type="dxa" w:w="4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32 — balances gradient noise and computational efficiency</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1A1A1A"/>
                <w:sz w:val="20"/>
                <w:szCs w:val="20"/>
              </w:rPr>
              <w:t xml:space="preserve">Validation Split</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20% of training data reserved for validation during training</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1A1A1A"/>
                <w:sz w:val="20"/>
                <w:szCs w:val="20"/>
              </w:rPr>
              <w:t xml:space="preserve">Early Stopping</w:t>
            </w:r>
          </w:p>
        </w:tc>
        <w:tc>
          <w:tcPr>
            <w:tcW w:type="dxa" w:w="4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monitor = val_loss, patience = 8, restore_best_weights = True</w:t>
            </w:r>
          </w:p>
        </w:tc>
      </w:tr>
    </w:tbl>
    <w:p>
      <w:pPr>
        <w:spacing w:after="80"/>
      </w:pPr>
      <w:r>
        <w:t xml:space="preserve"/>
      </w:r>
    </w:p>
    <w:p>
      <w:pPr>
        <w:spacing w:after="120"/>
        <w:jc w:val="both"/>
      </w:pPr>
      <w:r>
        <w:rPr>
          <w:rFonts w:ascii="Arial" w:cs="Arial" w:eastAsia="Arial" w:hAnsi="Arial"/>
          <w:b w:val="false"/>
          <w:bCs w:val="false"/>
          <w:color w:val="444444"/>
          <w:sz w:val="22"/>
          <w:szCs w:val="22"/>
        </w:rPr>
        <w:t xml:space="preserve">Early Stopping was configured to monitor validation loss with a patience of 8 epochs, meaning training halts if the validation loss does not improve for 8 consecutive epochs. The best weights are then restored, preventing the model from overfitting in later epochs. This was particularly important given the class imbalance, where the model might otherwise learn to over-predict the majority class in later epochs.</w:t>
      </w:r>
    </w:p>
    <w:p>
      <w:r>
        <w:br w:type="page"/>
      </w:r>
    </w:p>
    <w:p>
      <w:pPr>
        <w:pStyle w:val="Heading1"/>
        <w:pBdr>
          <w:bottom w:val="single" w:color="2E74B5" w:sz="8" w:space="4"/>
        </w:pBdr>
        <w:spacing w:before="320" w:after="160"/>
      </w:pPr>
      <w:r>
        <w:rPr>
          <w:rFonts w:ascii="Arial" w:cs="Arial" w:eastAsia="Arial" w:hAnsi="Arial"/>
          <w:b/>
          <w:bCs/>
          <w:color w:val="1F3864"/>
          <w:sz w:val="32"/>
          <w:szCs w:val="32"/>
        </w:rPr>
        <w:t xml:space="preserve">5. Evaluation Results</w:t>
      </w:r>
    </w:p>
    <w:p>
      <w:pPr>
        <w:pStyle w:val="Heading2"/>
        <w:spacing w:before="240" w:after="120"/>
      </w:pPr>
      <w:r>
        <w:rPr>
          <w:rFonts w:ascii="Arial" w:cs="Arial" w:eastAsia="Arial" w:hAnsi="Arial"/>
          <w:b/>
          <w:bCs/>
          <w:color w:val="2E74B5"/>
          <w:sz w:val="26"/>
          <w:szCs w:val="26"/>
        </w:rPr>
        <w:t xml:space="preserve">5.1 Evaluation Methodology</w:t>
      </w:r>
    </w:p>
    <w:p>
      <w:pPr>
        <w:spacing w:after="120"/>
        <w:jc w:val="both"/>
      </w:pPr>
      <w:r>
        <w:rPr>
          <w:rFonts w:ascii="Arial" w:cs="Arial" w:eastAsia="Arial" w:hAnsi="Arial"/>
          <w:b w:val="false"/>
          <w:bCs w:val="false"/>
          <w:color w:val="444444"/>
          <w:sz w:val="22"/>
          <w:szCs w:val="22"/>
        </w:rPr>
        <w:t xml:space="preserve">All reported metrics are computed on the held-out test set (20% of the data, n = 3,208). The decision threshold was set to 0.50 for both models. Metrics reported include Accuracy, AUC (Area Under the ROC Curve), Precision, Recall, and F1 Score — with particular emphasis on recall for Class 1, given the class imbalance and the business objective of identifying potential purchasers.</w:t>
      </w:r>
    </w:p>
    <w:p>
      <w:pPr>
        <w:pStyle w:val="Heading2"/>
        <w:spacing w:before="240" w:after="120"/>
      </w:pPr>
      <w:r>
        <w:rPr>
          <w:rFonts w:ascii="Arial" w:cs="Arial" w:eastAsia="Arial" w:hAnsi="Arial"/>
          <w:b/>
          <w:bCs/>
          <w:color w:val="2E74B5"/>
          <w:sz w:val="26"/>
          <w:szCs w:val="26"/>
        </w:rPr>
        <w:t xml:space="preserve">5.2 ANN Inference Results</w:t>
      </w:r>
    </w:p>
    <w:p>
      <w:pPr>
        <w:spacing w:after="120"/>
        <w:jc w:val="both"/>
      </w:pPr>
      <w:r>
        <w:rPr>
          <w:rFonts w:ascii="Arial" w:cs="Arial" w:eastAsia="Arial" w:hAnsi="Arial"/>
          <w:b w:val="false"/>
          <w:bCs w:val="false"/>
          <w:color w:val="444444"/>
          <w:sz w:val="22"/>
          <w:szCs w:val="22"/>
        </w:rPr>
        <w:t xml:space="preserve">The final ANN model achieved the following performance on the full dataset inference run: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Metric</w:t>
            </w:r>
          </w:p>
        </w:tc>
        <w:tc>
          <w:tcPr>
            <w:tcW w:type="dxa" w:w="23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Class 0 (No Purchase)</w:t>
            </w:r>
          </w:p>
        </w:tc>
        <w:tc>
          <w:tcPr>
            <w:tcW w:type="dxa" w:w="23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Class 1 (Purchase)</w:t>
            </w:r>
          </w:p>
        </w:tc>
        <w:tc>
          <w:tcPr>
            <w:tcW w:type="dxa" w:w="23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Overall</w:t>
            </w:r>
          </w:p>
        </w:tc>
      </w:tr>
      <w:tr>
        <w:tc>
          <w:tcPr>
            <w:tcW w:type="dxa" w:w="234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bCs/>
                <w:color w:val="1A1A1A"/>
                <w:sz w:val="20"/>
                <w:szCs w:val="20"/>
              </w:rPr>
              <w:t xml:space="preserve">Precision</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20"/>
                <w:szCs w:val="20"/>
              </w:rPr>
              <w:t xml:space="preserve">0.95</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20"/>
                <w:szCs w:val="20"/>
              </w:rPr>
              <w:t xml:space="preserve">0.92</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20"/>
                <w:szCs w:val="20"/>
              </w:rPr>
              <w:t xml:space="preserve">0.94 (weighted)</w:t>
            </w:r>
          </w:p>
        </w:tc>
      </w:tr>
      <w:tr>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1A1A1A"/>
                <w:sz w:val="20"/>
                <w:szCs w:val="20"/>
              </w:rPr>
              <w:t xml:space="preserve">Recall</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20"/>
                <w:szCs w:val="20"/>
              </w:rPr>
              <w:t xml:space="preserve">0.98</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1A7A1A"/>
                <w:sz w:val="20"/>
                <w:szCs w:val="20"/>
              </w:rPr>
              <w:t xml:space="preserve">0.79</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20"/>
                <w:szCs w:val="20"/>
              </w:rPr>
              <w:t xml:space="preserve">0.95 (weighted)</w:t>
            </w:r>
          </w:p>
        </w:tc>
      </w:tr>
      <w:tr>
        <w:tc>
          <w:tcPr>
            <w:tcW w:type="dxa" w:w="234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bCs/>
                <w:color w:val="1A1A1A"/>
                <w:sz w:val="20"/>
                <w:szCs w:val="20"/>
              </w:rPr>
              <w:t xml:space="preserve">F1 Score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20"/>
                <w:szCs w:val="20"/>
              </w:rPr>
              <w:t xml:space="preserve">0.97</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20"/>
                <w:szCs w:val="20"/>
              </w:rPr>
              <w:t xml:space="preserve">0.85</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20"/>
                <w:szCs w:val="20"/>
              </w:rPr>
              <w:t xml:space="preserve">0.91 (macro)</w:t>
            </w:r>
          </w:p>
        </w:tc>
      </w:tr>
      <w:tr>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1A1A1A"/>
                <w:sz w:val="20"/>
                <w:szCs w:val="20"/>
              </w:rPr>
              <w:t xml:space="preserve">Support</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20"/>
                <w:szCs w:val="20"/>
              </w:rPr>
              <w:t xml:space="preserve">2,589</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20"/>
                <w:szCs w:val="20"/>
              </w:rPr>
              <w:t xml:space="preserve">619</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20"/>
                <w:szCs w:val="20"/>
              </w:rPr>
              <w:t xml:space="preserve">3,208</w:t>
            </w:r>
          </w:p>
        </w:tc>
      </w:tr>
      <w:tr>
        <w:tc>
          <w:tcPr>
            <w:tcW w:type="dxa" w:w="234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bCs/>
                <w:color w:val="1A1A1A"/>
                <w:sz w:val="20"/>
                <w:szCs w:val="20"/>
              </w:rPr>
              <w:t xml:space="preserve">Accuracy</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20"/>
                <w:szCs w:val="20"/>
              </w:rPr>
              <w:t xml:space="preserv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20"/>
                <w:szCs w:val="20"/>
              </w:rPr>
              <w:t xml:space="preserv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1A1A1A"/>
                <w:sz w:val="20"/>
                <w:szCs w:val="20"/>
              </w:rPr>
              <w:t xml:space="preserve">94.64%</w:t>
            </w:r>
          </w:p>
        </w:tc>
      </w:tr>
      <w:tr>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1A1A1A"/>
                <w:sz w:val="20"/>
                <w:szCs w:val="20"/>
              </w:rPr>
              <w:t xml:space="preserve">AUC</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20"/>
                <w:szCs w:val="20"/>
              </w:rPr>
              <w:t xml:space="preserv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20"/>
                <w:szCs w:val="20"/>
              </w:rPr>
              <w:t xml:space="preserv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1A1A1A"/>
                <w:sz w:val="20"/>
                <w:szCs w:val="20"/>
              </w:rPr>
              <w:t xml:space="preserve">0.9701</w:t>
            </w:r>
          </w:p>
        </w:tc>
      </w:tr>
    </w:tbl>
    <w:p>
      <w:pPr>
        <w:spacing w:after="80"/>
      </w:pPr>
      <w:r>
        <w:t xml:space="preserve"/>
      </w:r>
    </w:p>
    <w:p>
      <w:pPr>
        <w:pStyle w:val="Heading2"/>
        <w:spacing w:before="240" w:after="120"/>
      </w:pPr>
      <w:r>
        <w:rPr>
          <w:rFonts w:ascii="Arial" w:cs="Arial" w:eastAsia="Arial" w:hAnsi="Arial"/>
          <w:b/>
          <w:bCs/>
          <w:color w:val="2E74B5"/>
          <w:sz w:val="26"/>
          <w:szCs w:val="26"/>
        </w:rPr>
        <w:t xml:space="preserve">5.3 Baseline Logistic Regression Inference Results</w:t>
      </w:r>
    </w:p>
    <w:p>
      <w:pPr>
        <w:spacing w:after="120"/>
        <w:jc w:val="both"/>
      </w:pPr>
      <w:r>
        <w:rPr>
          <w:rFonts w:ascii="Arial" w:cs="Arial" w:eastAsia="Arial" w:hAnsi="Arial"/>
          <w:b w:val="false"/>
          <w:bCs w:val="false"/>
          <w:color w:val="444444"/>
          <w:sz w:val="22"/>
          <w:szCs w:val="22"/>
        </w:rPr>
        <w:t xml:space="preserve">The Logistic Regression baseline achieved the following performance on the same dataset: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Metric</w:t>
            </w:r>
          </w:p>
        </w:tc>
        <w:tc>
          <w:tcPr>
            <w:tcW w:type="dxa" w:w="23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Class 0 (No Purchase)</w:t>
            </w:r>
          </w:p>
        </w:tc>
        <w:tc>
          <w:tcPr>
            <w:tcW w:type="dxa" w:w="23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Class 1 (Purchase)</w:t>
            </w:r>
          </w:p>
        </w:tc>
        <w:tc>
          <w:tcPr>
            <w:tcW w:type="dxa" w:w="23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Overall</w:t>
            </w:r>
          </w:p>
        </w:tc>
      </w:tr>
      <w:tr>
        <w:tc>
          <w:tcPr>
            <w:tcW w:type="dxa" w:w="234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bCs/>
                <w:color w:val="1A1A1A"/>
                <w:sz w:val="20"/>
                <w:szCs w:val="20"/>
              </w:rPr>
              <w:t xml:space="preserve">Precision</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20"/>
                <w:szCs w:val="20"/>
              </w:rPr>
              <w:t xml:space="preserve">0.86</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20"/>
                <w:szCs w:val="20"/>
              </w:rPr>
              <w:t xml:space="preserve">0.69</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20"/>
                <w:szCs w:val="20"/>
              </w:rPr>
              <w:t xml:space="preserve">0.83 (weighted)</w:t>
            </w:r>
          </w:p>
        </w:tc>
      </w:tr>
      <w:tr>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1A1A1A"/>
                <w:sz w:val="20"/>
                <w:szCs w:val="20"/>
              </w:rPr>
              <w:t xml:space="preserve">Recall</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20"/>
                <w:szCs w:val="20"/>
              </w:rPr>
              <w:t xml:space="preserve">0.96</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AA0000"/>
                <w:sz w:val="20"/>
                <w:szCs w:val="20"/>
              </w:rPr>
              <w:t xml:space="preserve">0.35</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20"/>
                <w:szCs w:val="20"/>
              </w:rPr>
              <w:t xml:space="preserve">0.84 (weighted)</w:t>
            </w:r>
          </w:p>
        </w:tc>
      </w:tr>
      <w:tr>
        <w:tc>
          <w:tcPr>
            <w:tcW w:type="dxa" w:w="234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bCs/>
                <w:color w:val="1A1A1A"/>
                <w:sz w:val="20"/>
                <w:szCs w:val="20"/>
              </w:rPr>
              <w:t xml:space="preserve">F1 Score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20"/>
                <w:szCs w:val="20"/>
              </w:rPr>
              <w:t xml:space="preserve">0.91</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20"/>
                <w:szCs w:val="20"/>
              </w:rPr>
              <w:t xml:space="preserve">0.46</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20"/>
                <w:szCs w:val="20"/>
              </w:rPr>
              <w:t xml:space="preserve">0.69 (macro)</w:t>
            </w:r>
          </w:p>
        </w:tc>
      </w:tr>
      <w:tr>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1A1A1A"/>
                <w:sz w:val="20"/>
                <w:szCs w:val="20"/>
              </w:rPr>
              <w:t xml:space="preserve">Support</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20"/>
                <w:szCs w:val="20"/>
              </w:rPr>
              <w:t xml:space="preserve">2,589</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20"/>
                <w:szCs w:val="20"/>
              </w:rPr>
              <w:t xml:space="preserve">619</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20"/>
                <w:szCs w:val="20"/>
              </w:rPr>
              <w:t xml:space="preserve">3,208</w:t>
            </w:r>
          </w:p>
        </w:tc>
      </w:tr>
      <w:tr>
        <w:tc>
          <w:tcPr>
            <w:tcW w:type="dxa" w:w="234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bCs/>
                <w:color w:val="1A1A1A"/>
                <w:sz w:val="20"/>
                <w:szCs w:val="20"/>
              </w:rPr>
              <w:t xml:space="preserve">Accuracy</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20"/>
                <w:szCs w:val="20"/>
              </w:rPr>
              <w:t xml:space="preserv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20"/>
                <w:szCs w:val="20"/>
              </w:rPr>
              <w:t xml:space="preserv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1A1A1A"/>
                <w:sz w:val="20"/>
                <w:szCs w:val="20"/>
              </w:rPr>
              <w:t xml:space="preserve">84.45%</w:t>
            </w:r>
          </w:p>
        </w:tc>
      </w:tr>
      <w:tr>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1A1A1A"/>
                <w:sz w:val="20"/>
                <w:szCs w:val="20"/>
              </w:rPr>
              <w:t xml:space="preserve">AUC</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20"/>
                <w:szCs w:val="20"/>
              </w:rPr>
              <w:t xml:space="preserv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20"/>
                <w:szCs w:val="20"/>
              </w:rPr>
              <w:t xml:space="preserv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1A1A1A"/>
                <w:sz w:val="20"/>
                <w:szCs w:val="20"/>
              </w:rPr>
              <w:t xml:space="preserve">0.8242</w:t>
            </w:r>
          </w:p>
        </w:tc>
      </w:tr>
    </w:tbl>
    <w:p>
      <w:pPr>
        <w:spacing w:after="80"/>
      </w:pPr>
      <w:r>
        <w:t xml:space="preserve"/>
      </w:r>
    </w:p>
    <w:p>
      <w:pPr>
        <w:pStyle w:val="Heading2"/>
        <w:spacing w:before="240" w:after="120"/>
      </w:pPr>
      <w:r>
        <w:rPr>
          <w:rFonts w:ascii="Arial" w:cs="Arial" w:eastAsia="Arial" w:hAnsi="Arial"/>
          <w:b/>
          <w:bCs/>
          <w:color w:val="2E74B5"/>
          <w:sz w:val="26"/>
          <w:szCs w:val="26"/>
        </w:rPr>
        <w:t xml:space="preserve">5.4 Model Comparison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000"/>
        <w:gridCol w:w="2000"/>
        <w:gridCol w:w="2860"/>
      </w:tblGrid>
      <w:tr>
        <w:tc>
          <w:tcPr>
            <w:tcW w:type="dxa" w:w="2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Metric</w:t>
            </w:r>
          </w:p>
        </w:tc>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ANN</w:t>
            </w:r>
          </w:p>
        </w:tc>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Logistic Reg.</w:t>
            </w:r>
          </w:p>
        </w:tc>
        <w:tc>
          <w:tcPr>
            <w:tcW w:type="dxa" w:w="28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Improvement</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1A1A1A"/>
                <w:sz w:val="20"/>
                <w:szCs w:val="20"/>
              </w:rPr>
              <w:t xml:space="preserve">Accuracy</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20"/>
                <w:szCs w:val="20"/>
              </w:rPr>
              <w:t xml:space="preserve">94.64%</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20"/>
                <w:szCs w:val="20"/>
              </w:rPr>
              <w:t xml:space="preserve">84.45%</w:t>
            </w:r>
          </w:p>
        </w:tc>
        <w:tc>
          <w:tcPr>
            <w:tcW w:type="dxa" w:w="2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1A7A1A"/>
                <w:sz w:val="20"/>
                <w:szCs w:val="20"/>
              </w:rPr>
              <w:t xml:space="preserve">+10.19 pp</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1A1A1A"/>
                <w:sz w:val="20"/>
                <w:szCs w:val="20"/>
              </w:rPr>
              <w:t xml:space="preserve">AUC</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20"/>
                <w:szCs w:val="20"/>
              </w:rPr>
              <w:t xml:space="preserve">0.9701</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20"/>
                <w:szCs w:val="20"/>
              </w:rPr>
              <w:t xml:space="preserve">0.8242</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1A7A1A"/>
                <w:sz w:val="20"/>
                <w:szCs w:val="20"/>
              </w:rPr>
              <w:t xml:space="preserve">+0.1459</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1A1A1A"/>
                <w:sz w:val="20"/>
                <w:szCs w:val="20"/>
              </w:rPr>
              <w:t xml:space="preserve">Recall (Class 1)</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20"/>
                <w:szCs w:val="20"/>
              </w:rPr>
              <w:t xml:space="preserve">79%</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20"/>
                <w:szCs w:val="20"/>
              </w:rPr>
              <w:t xml:space="preserve">35%</w:t>
            </w:r>
          </w:p>
        </w:tc>
        <w:tc>
          <w:tcPr>
            <w:tcW w:type="dxa" w:w="2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1A7A1A"/>
                <w:sz w:val="20"/>
                <w:szCs w:val="20"/>
              </w:rPr>
              <w:t xml:space="preserve">+44 pp</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1A1A1A"/>
                <w:sz w:val="20"/>
                <w:szCs w:val="20"/>
              </w:rPr>
              <w:t xml:space="preserve">Precision (Class 1)</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20"/>
                <w:szCs w:val="20"/>
              </w:rPr>
              <w:t xml:space="preserve">92%</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20"/>
                <w:szCs w:val="20"/>
              </w:rPr>
              <w:t xml:space="preserve">69%</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1A7A1A"/>
                <w:sz w:val="20"/>
                <w:szCs w:val="20"/>
              </w:rPr>
              <w:t xml:space="preserve">+23 pp</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1A1A1A"/>
                <w:sz w:val="20"/>
                <w:szCs w:val="20"/>
              </w:rPr>
              <w:t xml:space="preserve">F1 Score (Class 1)</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20"/>
                <w:szCs w:val="20"/>
              </w:rPr>
              <w:t xml:space="preserve">0.8504</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20"/>
                <w:szCs w:val="20"/>
              </w:rPr>
              <w:t xml:space="preserve">0.4629</w:t>
            </w:r>
          </w:p>
        </w:tc>
        <w:tc>
          <w:tcPr>
            <w:tcW w:type="dxa" w:w="2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1A7A1A"/>
                <w:sz w:val="20"/>
                <w:szCs w:val="20"/>
              </w:rPr>
              <w:t xml:space="preserve">+0.3875</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1A1A1A"/>
                <w:sz w:val="20"/>
                <w:szCs w:val="20"/>
              </w:rPr>
              <w:t xml:space="preserve">F1 Score (Macro)</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20"/>
                <w:szCs w:val="20"/>
              </w:rPr>
              <w:t xml:space="preserve">0.9089</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20"/>
                <w:szCs w:val="20"/>
              </w:rPr>
              <w:t xml:space="preserve">0.6860</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1A7A1A"/>
                <w:sz w:val="20"/>
                <w:szCs w:val="20"/>
              </w:rPr>
              <w:t xml:space="preserve">+0.2229</w:t>
            </w:r>
          </w:p>
        </w:tc>
      </w:tr>
    </w:tbl>
    <w:p>
      <w:pPr>
        <w:spacing w:after="80"/>
      </w:pPr>
      <w:r>
        <w:t xml:space="preserve"/>
      </w:r>
    </w:p>
    <w:p>
      <w:pPr>
        <w:pStyle w:val="Heading2"/>
        <w:spacing w:before="240" w:after="120"/>
      </w:pPr>
      <w:r>
        <w:rPr>
          <w:rFonts w:ascii="Arial" w:cs="Arial" w:eastAsia="Arial" w:hAnsi="Arial"/>
          <w:b/>
          <w:bCs/>
          <w:color w:val="2E74B5"/>
          <w:sz w:val="26"/>
          <w:szCs w:val="26"/>
        </w:rPr>
        <w:t xml:space="preserve">5.5 Confusion Matrix Analysis</w:t>
      </w:r>
    </w:p>
    <w:p>
      <w:pPr>
        <w:spacing w:after="120"/>
        <w:jc w:val="both"/>
      </w:pPr>
      <w:r>
        <w:rPr>
          <w:rFonts w:ascii="Arial" w:cs="Arial" w:eastAsia="Arial" w:hAnsi="Arial"/>
          <w:b w:val="false"/>
          <w:bCs w:val="false"/>
          <w:color w:val="444444"/>
          <w:sz w:val="22"/>
          <w:szCs w:val="22"/>
        </w:rPr>
        <w:t xml:space="preserve">ANN Model: The normalized confusion matrix shows the ANN correctly classified 98.38% of non-purchasers (Class 0) and 79% of purchasers (Class 1). The false negative rate for Class 1 is 21% — meaning the model misses about 1 in 5 purchasers. The false positive rate for Class 0 is only 1.62%, indicating very low noise in non-purchaser predictions.</w:t>
      </w:r>
    </w:p>
    <w:p>
      <w:pPr>
        <w:spacing w:after="120"/>
        <w:jc w:val="both"/>
      </w:pPr>
      <w:r>
        <w:rPr>
          <w:rFonts w:ascii="Arial" w:cs="Arial" w:eastAsia="Arial" w:hAnsi="Arial"/>
          <w:b w:val="false"/>
          <w:bCs w:val="false"/>
          <w:color w:val="444444"/>
          <w:sz w:val="22"/>
          <w:szCs w:val="22"/>
        </w:rPr>
        <w:t xml:space="preserve">Logistic Regression Baseline: The baseline correctly classified 96.33% of non-purchasers but only 34.73% of purchasers — missing nearly two-thirds of actual buyers. This reflects the baseline model's failure to capture the complex non-linear patterns distinguishing purchasers from non-purchasers. With only 37.1% recall on Class 1 in training and 34.73% at inference, the Logistic Regression model would be practically ineffective for identifying prospective customers in a real business setting.</w:t>
      </w:r>
    </w:p>
    <w:p>
      <w:pPr>
        <w:pStyle w:val="Heading2"/>
        <w:spacing w:before="240" w:after="120"/>
      </w:pPr>
      <w:r>
        <w:rPr>
          <w:rFonts w:ascii="Arial" w:cs="Arial" w:eastAsia="Arial" w:hAnsi="Arial"/>
          <w:b/>
          <w:bCs/>
          <w:color w:val="2E74B5"/>
          <w:sz w:val="26"/>
          <w:szCs w:val="26"/>
        </w:rPr>
        <w:t xml:space="preserve">5.6 Interpretation &amp; Recommendation</w:t>
      </w:r>
    </w:p>
    <w:p>
      <w:pPr>
        <w:spacing w:after="120"/>
        <w:jc w:val="both"/>
      </w:pPr>
      <w:r>
        <w:rPr>
          <w:rFonts w:ascii="Arial" w:cs="Arial" w:eastAsia="Arial" w:hAnsi="Arial"/>
          <w:b w:val="false"/>
          <w:bCs w:val="false"/>
          <w:color w:val="444444"/>
          <w:sz w:val="22"/>
          <w:szCs w:val="22"/>
        </w:rPr>
        <w:t xml:space="preserve">The ANN demonstrates substantially superior performance across every metric, with the most important improvement being the 44 percentage-point gain in recall for the positive class. In a business context, higher recall means fewer missed opportunities — more potential buyers are correctly identified and can be targeted for follow-up. The model's AUC of 0.9701 indicates excellent discriminative ability between purchasers and non-purchasers across all possible thresholds.</w:t>
      </w:r>
    </w:p>
    <w:p>
      <w:pPr>
        <w:spacing w:after="120"/>
        <w:jc w:val="both"/>
      </w:pPr>
      <w:r>
        <w:rPr>
          <w:rFonts w:ascii="Arial" w:cs="Arial" w:eastAsia="Arial" w:hAnsi="Arial"/>
          <w:b w:val="false"/>
          <w:bCs w:val="false"/>
          <w:color w:val="444444"/>
          <w:sz w:val="22"/>
          <w:szCs w:val="22"/>
        </w:rPr>
        <w:t xml:space="preserve">The ANN is the recommended model for production use. If business requirements shift toward even higher recall (e.g., maximizing customer capture at the cost of some false positives), the decision threshold could be tuned below 0.5 to further increase Class 1 recall at the expense of precision.</w:t>
      </w:r>
    </w:p>
    <w:sectPr>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60"/>
      <w:outlineLvl w:val="0"/>
    </w:pPr>
    <w:rPr>
      <w:rFonts w:ascii="Arial" w:cs="Arial" w:eastAsia="Arial" w:hAnsi="Arial"/>
      <w:b/>
      <w:bCs/>
      <w:color w:val="1F3864"/>
      <w:sz w:val="32"/>
      <w:szCs w:val="32"/>
    </w:rPr>
  </w:style>
  <w:style w:type="paragraph" w:styleId="Heading2">
    <w:name w:val="Heading 2"/>
    <w:basedOn w:val="Normal"/>
    <w:next w:val="Normal"/>
    <w:qFormat/>
    <w:pPr>
      <w:spacing w:before="240" w:after="120"/>
      <w:outlineLvl w:val="1"/>
    </w:pPr>
    <w:rPr>
      <w:rFonts w:ascii="Arial" w:cs="Arial" w:eastAsia="Arial" w:hAnsi="Arial"/>
      <w:b/>
      <w:bCs/>
      <w:color w:val="2E74B5"/>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2026-02-20T16:39:45.441Z</dcterms:created>
  <dcterms:modified xsi:type="dcterms:W3CDTF">2026-02-20T16:39:45.442Z</dcterms:modified>
</cp:coreProperties>
</file>

<file path=docProps/custom.xml><?xml version="1.0" encoding="utf-8"?>
<Properties xmlns="http://schemas.openxmlformats.org/officeDocument/2006/custom-properties" xmlns:vt="http://schemas.openxmlformats.org/officeDocument/2006/docPropsVTypes"/>
</file>