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01475 — Baltic Sea</w:t>
      </w:r>
    </w:p>
    <w:p>
      <w:r>
        <w:t>ENTITY PROFILE</w:t>
      </w:r>
    </w:p>
    <w:p>
      <w:r>
        <w:t>Designation: Maritime Component</w:t>
      </w:r>
    </w:p>
    <w:p>
      <w:r>
        <w:t>Category: military organization</w:t>
      </w:r>
    </w:p>
    <w:p>
      <w:r>
        <w:t>Area of interest: Baltic Sea</w:t>
      </w:r>
    </w:p>
    <w:p>
      <w:r>
        <w:t>Known capability: command and control coordination</w:t>
      </w:r>
    </w:p>
    <w:p>
      <w:r>
        <w:t>Source reliability: B2.</w:t>
      </w:r>
    </w:p>
    <w:p>
      <w:r>
        <w:t/>
      </w:r>
    </w:p>
    <w:p>
      <w:r>
        <w:t>Note linguistique: diffusion de travail en français; situation opérationnelle stable.</w:t>
      </w:r>
    </w:p>
  </w:body>
</w:document>
</file>