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INTSUM 00337 — Sector Bravo</w:t>
      </w:r>
    </w:p>
    <w:p>
      <w:r>
        <w:t>INTELLIGENCE SUMMARY</w:t>
      </w:r>
    </w:p>
    <w:p>
      <w:r>
        <w:t>Reporting period: 2026-07-14T05:11Z</w:t>
      </w:r>
    </w:p>
    <w:p>
      <w:r>
        <w:t>Assessment: activity near Sector Bravo is consistent with scheduled logistics. Confidence: moderate.</w:t>
      </w:r>
    </w:p>
    <w:p>
      <w:r>
        <w:t>Collection priorities: force posture, maritime approaches, communications indicators.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