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00201 — Baltic Sea</w:t>
      </w:r>
    </w:p>
    <w:p>
      <w:r>
        <w:t>ENTITY PROFILE</w:t>
      </w:r>
    </w:p>
    <w:p>
      <w:r>
        <w:t>Designation: NATO Response Cell</w:t>
      </w:r>
    </w:p>
    <w:p>
      <w:r>
        <w:t>Category: military organization</w:t>
      </w:r>
    </w:p>
    <w:p>
      <w:r>
        <w:t>Area of interest: Baltic Sea</w:t>
      </w:r>
    </w:p>
    <w:p>
      <w:r>
        <w:t>Known capability: command and control coordination</w:t>
      </w:r>
    </w:p>
    <w:p>
      <w:r>
        <w:t>Source reliability: B2.</w:t>
      </w:r>
    </w:p>
  </w:body>
</w:document>
</file>