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Cloud Migration Status</w:t>
      </w:r>
    </w:p>
    <w:p>
      <w:r>
        <w:t>Project report — AcmeSystems Cloud Migration</w:t>
      </w:r>
    </w:p>
    <w:p>
      <w:r>
        <w:t>Status: amber</w:t>
      </w:r>
    </w:p>
    <w:p>
      <w:r>
        <w:t>Completed: architecture review and prototype.</w:t>
      </w:r>
    </w:p>
    <w:p>
      <w:r>
        <w:t>Next: user acceptance testing.</w:t>
      </w:r>
    </w:p>
    <w:p>
      <w:r>
        <w:t>Budget variance: 6 percent. Owner: Emma Michel.</w:t>
      </w:r>
    </w:p>
  </w:body>
</w:document>
</file>